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071D7E">
      <w:pPr>
        <w:ind w:left="424" w:leftChars="200" w:right="424" w:rightChars="200" w:firstLine="0" w:firstLineChars="0"/>
        <w:rPr>
          <w:rFonts w:ascii="Arial" w:hAnsi="Arial" w:cs="Arial"/>
          <w:b/>
          <w:bCs/>
          <w:spacing w:val="0"/>
          <w:sz w:val="24"/>
        </w:rPr>
      </w:pPr>
      <w:r>
        <w:rPr>
          <w:rFonts w:hint="eastAsia" w:ascii="Arial" w:hAnsi="Arial" w:cs="Arial"/>
          <w:b/>
          <w:bCs/>
          <w:spacing w:val="0"/>
          <w:sz w:val="24"/>
        </w:rPr>
        <w:t>An Online Loop Closing Current Calculation Method for Complex Distribution Networks Considering Source and Load Uncertainties</w:t>
      </w:r>
    </w:p>
    <w:p w14:paraId="66B3544A">
      <w:pPr>
        <w:ind w:left="424" w:leftChars="200" w:right="424" w:rightChars="200" w:firstLine="0" w:firstLineChars="0"/>
        <w:rPr>
          <w:rFonts w:hint="eastAsia" w:eastAsia="宋体"/>
          <w:spacing w:val="0"/>
          <w:sz w:val="22"/>
          <w:szCs w:val="22"/>
          <w:vertAlign w:val="superscript"/>
          <w:lang w:eastAsia="zh-CN"/>
        </w:rPr>
      </w:pPr>
      <w:r>
        <w:rPr>
          <w:rFonts w:hint="eastAsia"/>
          <w:iCs/>
          <w:spacing w:val="0"/>
          <w:sz w:val="22"/>
          <w:szCs w:val="22"/>
          <w:lang w:val="en-US" w:eastAsia="zh-CN"/>
        </w:rPr>
        <w:t>Weifeng Peng</w:t>
      </w:r>
      <w:r>
        <w:rPr>
          <w:spacing w:val="0"/>
          <w:sz w:val="22"/>
          <w:szCs w:val="22"/>
          <w:vertAlign w:val="superscript"/>
        </w:rPr>
        <w:t>1</w:t>
      </w:r>
      <w:r>
        <w:rPr>
          <w:rFonts w:hint="eastAsia"/>
          <w:iCs/>
          <w:spacing w:val="0"/>
          <w:sz w:val="22"/>
          <w:szCs w:val="22"/>
        </w:rPr>
        <w:t xml:space="preserve">, </w:t>
      </w:r>
      <w:r>
        <w:rPr>
          <w:rFonts w:hint="eastAsia"/>
          <w:iCs/>
          <w:spacing w:val="0"/>
          <w:sz w:val="22"/>
          <w:szCs w:val="22"/>
          <w:lang w:val="en-US" w:eastAsia="zh-CN"/>
        </w:rPr>
        <w:t>Licheng Sha</w:t>
      </w:r>
      <w:r>
        <w:rPr>
          <w:rFonts w:hint="eastAsia"/>
          <w:spacing w:val="0"/>
          <w:sz w:val="22"/>
          <w:szCs w:val="22"/>
          <w:vertAlign w:val="superscript"/>
          <w:lang w:val="en-US" w:eastAsia="zh-CN"/>
        </w:rPr>
        <w:t>2</w:t>
      </w:r>
      <w:r>
        <w:rPr>
          <w:rFonts w:hint="eastAsia"/>
          <w:iCs/>
          <w:spacing w:val="0"/>
          <w:sz w:val="22"/>
          <w:szCs w:val="22"/>
        </w:rPr>
        <w:t xml:space="preserve">, </w:t>
      </w:r>
      <w:r>
        <w:rPr>
          <w:rFonts w:hint="eastAsia"/>
          <w:iCs/>
          <w:spacing w:val="0"/>
          <w:sz w:val="22"/>
          <w:szCs w:val="22"/>
          <w:lang w:val="en-US" w:eastAsia="zh-CN"/>
        </w:rPr>
        <w:t>Kaiyuan Zheng</w:t>
      </w:r>
      <w:r>
        <w:rPr>
          <w:rFonts w:hint="eastAsia"/>
          <w:spacing w:val="0"/>
          <w:sz w:val="22"/>
          <w:szCs w:val="22"/>
          <w:vertAlign w:val="superscript"/>
          <w:lang w:val="en-US" w:eastAsia="zh-CN"/>
        </w:rPr>
        <w:t>3</w:t>
      </w:r>
      <w:r>
        <w:rPr>
          <w:rFonts w:hint="eastAsia"/>
          <w:iCs/>
          <w:spacing w:val="0"/>
          <w:sz w:val="22"/>
          <w:szCs w:val="22"/>
        </w:rPr>
        <w:t xml:space="preserve">, </w:t>
      </w:r>
      <w:r>
        <w:rPr>
          <w:rFonts w:hint="eastAsia"/>
          <w:iCs/>
          <w:spacing w:val="0"/>
          <w:sz w:val="22"/>
          <w:szCs w:val="22"/>
          <w:lang w:val="en-US" w:eastAsia="zh-CN"/>
        </w:rPr>
        <w:t>Shufeng Dong</w:t>
      </w:r>
      <w:r>
        <w:rPr>
          <w:rFonts w:hint="eastAsia"/>
          <w:iCs/>
          <w:spacing w:val="0"/>
          <w:sz w:val="22"/>
          <w:szCs w:val="22"/>
          <w:vertAlign w:val="superscript"/>
          <w:lang w:val="en-US" w:eastAsia="zh-CN"/>
        </w:rPr>
        <w:t>1</w:t>
      </w:r>
      <w:r>
        <w:rPr>
          <w:sz w:val="22"/>
          <w:szCs w:val="20"/>
          <w:vertAlign w:val="superscript"/>
        </w:rPr>
        <w:t>*</w:t>
      </w:r>
      <w:r>
        <w:rPr>
          <w:iCs/>
          <w:spacing w:val="0"/>
          <w:sz w:val="22"/>
          <w:szCs w:val="22"/>
        </w:rPr>
        <w:t xml:space="preserve">, </w:t>
      </w:r>
      <w:r>
        <w:rPr>
          <w:rFonts w:hint="eastAsia"/>
          <w:iCs/>
          <w:spacing w:val="0"/>
          <w:sz w:val="22"/>
          <w:szCs w:val="22"/>
          <w:lang w:val="en-US" w:eastAsia="zh-CN"/>
        </w:rPr>
        <w:t>Xin Zhang</w:t>
      </w:r>
      <w:r>
        <w:rPr>
          <w:iCs/>
          <w:spacing w:val="0"/>
          <w:sz w:val="22"/>
          <w:szCs w:val="22"/>
          <w:vertAlign w:val="superscript"/>
        </w:rPr>
        <w:t>1</w:t>
      </w:r>
      <w:r>
        <w:rPr>
          <w:iCs/>
          <w:spacing w:val="0"/>
          <w:sz w:val="22"/>
          <w:szCs w:val="22"/>
        </w:rPr>
        <w:t xml:space="preserve">, </w:t>
      </w:r>
      <w:r>
        <w:rPr>
          <w:rFonts w:hint="eastAsia"/>
          <w:iCs/>
          <w:spacing w:val="0"/>
          <w:sz w:val="22"/>
          <w:szCs w:val="22"/>
          <w:lang w:val="en-US" w:eastAsia="zh-CN"/>
        </w:rPr>
        <w:t>Jing Tian</w:t>
      </w:r>
      <w:r>
        <w:rPr>
          <w:rFonts w:hint="eastAsia"/>
          <w:iCs/>
          <w:spacing w:val="0"/>
          <w:sz w:val="22"/>
          <w:szCs w:val="22"/>
          <w:vertAlign w:val="superscript"/>
          <w:lang w:val="en-US" w:eastAsia="zh-CN"/>
        </w:rPr>
        <w:t>4</w:t>
      </w:r>
    </w:p>
    <w:p w14:paraId="68FF28A4">
      <w:pPr>
        <w:ind w:left="424" w:leftChars="200" w:right="424" w:rightChars="200" w:firstLine="0" w:firstLineChars="0"/>
        <w:rPr>
          <w:iCs/>
          <w:spacing w:val="0"/>
          <w:sz w:val="22"/>
          <w:szCs w:val="22"/>
        </w:rPr>
      </w:pPr>
    </w:p>
    <w:p w14:paraId="3923796C">
      <w:pPr>
        <w:ind w:left="424" w:leftChars="200" w:right="424" w:rightChars="200" w:firstLine="0" w:firstLineChars="0"/>
        <w:rPr>
          <w:bCs/>
          <w:spacing w:val="0"/>
          <w:szCs w:val="20"/>
        </w:rPr>
      </w:pPr>
      <w:r>
        <w:rPr>
          <w:rFonts w:hint="eastAsia"/>
          <w:spacing w:val="0"/>
          <w:szCs w:val="20"/>
        </w:rPr>
        <w:t>1</w:t>
      </w:r>
      <w:r>
        <w:rPr>
          <w:bCs/>
          <w:spacing w:val="0"/>
          <w:szCs w:val="20"/>
        </w:rPr>
        <w:t xml:space="preserve"> </w:t>
      </w:r>
      <w:r>
        <w:rPr>
          <w:rFonts w:hint="eastAsia"/>
          <w:bCs/>
          <w:spacing w:val="0"/>
          <w:szCs w:val="20"/>
        </w:rPr>
        <w:t>College of</w:t>
      </w:r>
      <w:r>
        <w:rPr>
          <w:rFonts w:hint="eastAsia"/>
          <w:bCs/>
          <w:spacing w:val="0"/>
          <w:szCs w:val="20"/>
          <w:lang w:val="en-US" w:eastAsia="zh-CN"/>
        </w:rPr>
        <w:t xml:space="preserve"> </w:t>
      </w:r>
      <w:r>
        <w:rPr>
          <w:rFonts w:hint="eastAsia"/>
          <w:bCs/>
          <w:spacing w:val="0"/>
          <w:szCs w:val="20"/>
        </w:rPr>
        <w:t>Electrical Engineering</w:t>
      </w:r>
      <w:r>
        <w:rPr>
          <w:bCs/>
          <w:spacing w:val="0"/>
          <w:szCs w:val="20"/>
        </w:rPr>
        <w:t>,</w:t>
      </w:r>
      <w:r>
        <w:rPr>
          <w:rFonts w:hint="eastAsia"/>
          <w:bCs/>
          <w:spacing w:val="0"/>
          <w:szCs w:val="20"/>
          <w:lang w:val="en-US" w:eastAsia="zh-CN"/>
        </w:rPr>
        <w:t xml:space="preserve"> </w:t>
      </w:r>
      <w:r>
        <w:rPr>
          <w:rFonts w:hint="eastAsia"/>
          <w:bCs/>
          <w:spacing w:val="0"/>
          <w:szCs w:val="20"/>
        </w:rPr>
        <w:t>Zhejiang University</w:t>
      </w:r>
      <w:r>
        <w:rPr>
          <w:bCs/>
          <w:spacing w:val="0"/>
          <w:szCs w:val="20"/>
        </w:rPr>
        <w:t xml:space="preserve">  </w:t>
      </w:r>
      <w:r>
        <w:rPr>
          <w:rFonts w:hint="eastAsia"/>
          <w:bCs/>
          <w:spacing w:val="0"/>
          <w:szCs w:val="20"/>
          <w:lang w:val="en-US" w:eastAsia="zh-CN"/>
        </w:rPr>
        <w:t>Hangzhou</w:t>
      </w:r>
      <w:r>
        <w:rPr>
          <w:rFonts w:hint="eastAsia"/>
          <w:bCs/>
          <w:spacing w:val="0"/>
          <w:szCs w:val="20"/>
        </w:rPr>
        <w:t xml:space="preserve">  310027</w:t>
      </w:r>
      <w:r>
        <w:rPr>
          <w:rFonts w:hint="eastAsia"/>
          <w:bCs/>
          <w:spacing w:val="0"/>
          <w:szCs w:val="20"/>
          <w:lang w:val="en-US" w:eastAsia="zh-CN"/>
        </w:rPr>
        <w:t xml:space="preserve">  </w:t>
      </w:r>
      <w:r>
        <w:rPr>
          <w:bCs/>
          <w:spacing w:val="0"/>
          <w:szCs w:val="20"/>
        </w:rPr>
        <w:t>China</w:t>
      </w:r>
    </w:p>
    <w:p w14:paraId="6A0CA5EC">
      <w:pPr>
        <w:ind w:left="424" w:leftChars="200" w:right="424" w:rightChars="200" w:firstLine="0" w:firstLineChars="0"/>
        <w:rPr>
          <w:bCs/>
          <w:spacing w:val="0"/>
          <w:szCs w:val="20"/>
        </w:rPr>
      </w:pPr>
      <w:r>
        <w:rPr>
          <w:rFonts w:hint="eastAsia"/>
          <w:spacing w:val="0"/>
          <w:szCs w:val="20"/>
        </w:rPr>
        <w:t>2</w:t>
      </w:r>
      <w:r>
        <w:rPr>
          <w:spacing w:val="0"/>
          <w:szCs w:val="20"/>
        </w:rPr>
        <w:t xml:space="preserve"> </w:t>
      </w:r>
      <w:r>
        <w:rPr>
          <w:rFonts w:hint="eastAsia"/>
          <w:bCs/>
          <w:spacing w:val="0"/>
          <w:szCs w:val="20"/>
          <w:lang w:val="en-US" w:eastAsia="zh-CN"/>
        </w:rPr>
        <w:t>State Grid Beijing Electric Power Company  Beijing</w:t>
      </w:r>
      <w:r>
        <w:rPr>
          <w:bCs/>
          <w:spacing w:val="0"/>
          <w:szCs w:val="20"/>
        </w:rPr>
        <w:t xml:space="preserve">  </w:t>
      </w:r>
      <w:r>
        <w:rPr>
          <w:rFonts w:hint="eastAsia"/>
          <w:bCs/>
          <w:spacing w:val="0"/>
          <w:szCs w:val="20"/>
          <w:lang w:val="en-US" w:eastAsia="zh-CN"/>
        </w:rPr>
        <w:t>100031</w:t>
      </w:r>
      <w:r>
        <w:rPr>
          <w:bCs/>
          <w:spacing w:val="0"/>
          <w:szCs w:val="20"/>
        </w:rPr>
        <w:t xml:space="preserve"> </w:t>
      </w:r>
      <w:r>
        <w:rPr>
          <w:rFonts w:hint="eastAsia"/>
          <w:bCs/>
          <w:spacing w:val="0"/>
          <w:szCs w:val="20"/>
        </w:rPr>
        <w:t xml:space="preserve"> </w:t>
      </w:r>
      <w:r>
        <w:rPr>
          <w:bCs/>
          <w:spacing w:val="0"/>
          <w:szCs w:val="20"/>
        </w:rPr>
        <w:t>China</w:t>
      </w:r>
    </w:p>
    <w:p w14:paraId="08B58236">
      <w:pPr>
        <w:ind w:left="424" w:leftChars="200" w:right="424" w:rightChars="200" w:firstLine="0" w:firstLineChars="0"/>
        <w:rPr>
          <w:bCs/>
          <w:spacing w:val="0"/>
          <w:szCs w:val="20"/>
        </w:rPr>
      </w:pPr>
      <w:r>
        <w:rPr>
          <w:rFonts w:hint="eastAsia"/>
          <w:spacing w:val="0"/>
          <w:szCs w:val="20"/>
        </w:rPr>
        <w:t>3</w:t>
      </w:r>
      <w:r>
        <w:rPr>
          <w:spacing w:val="0"/>
          <w:szCs w:val="20"/>
        </w:rPr>
        <w:t xml:space="preserve"> State Grid Beijing Electric Power Company Electric Power Research Institute</w:t>
      </w:r>
      <w:r>
        <w:rPr>
          <w:rFonts w:hint="eastAsia"/>
          <w:bCs/>
          <w:spacing w:val="0"/>
          <w:szCs w:val="20"/>
        </w:rPr>
        <w:t xml:space="preserve">  </w:t>
      </w:r>
      <w:r>
        <w:rPr>
          <w:rFonts w:hint="eastAsia"/>
          <w:bCs/>
          <w:spacing w:val="0"/>
          <w:szCs w:val="20"/>
          <w:lang w:val="en-US" w:eastAsia="zh-CN"/>
        </w:rPr>
        <w:t>Beijing</w:t>
      </w:r>
      <w:r>
        <w:rPr>
          <w:bCs/>
          <w:spacing w:val="0"/>
          <w:szCs w:val="20"/>
        </w:rPr>
        <w:t xml:space="preserve">  </w:t>
      </w:r>
      <w:r>
        <w:rPr>
          <w:rFonts w:hint="eastAsia"/>
          <w:bCs/>
          <w:spacing w:val="0"/>
          <w:szCs w:val="20"/>
          <w:lang w:val="en-US" w:eastAsia="zh-CN"/>
        </w:rPr>
        <w:t>100075</w:t>
      </w:r>
      <w:r>
        <w:rPr>
          <w:bCs/>
          <w:spacing w:val="0"/>
          <w:szCs w:val="20"/>
        </w:rPr>
        <w:t xml:space="preserve"> </w:t>
      </w:r>
      <w:r>
        <w:rPr>
          <w:rFonts w:hint="eastAsia"/>
          <w:bCs/>
          <w:spacing w:val="0"/>
          <w:szCs w:val="20"/>
        </w:rPr>
        <w:t xml:space="preserve"> </w:t>
      </w:r>
      <w:r>
        <w:rPr>
          <w:bCs/>
          <w:spacing w:val="0"/>
          <w:szCs w:val="20"/>
        </w:rPr>
        <w:t>China</w:t>
      </w:r>
    </w:p>
    <w:p w14:paraId="36929BD9">
      <w:pPr>
        <w:ind w:left="424" w:leftChars="200" w:right="424" w:rightChars="200" w:firstLine="0" w:firstLineChars="0"/>
        <w:rPr>
          <w:bCs/>
          <w:spacing w:val="0"/>
          <w:szCs w:val="20"/>
          <w:lang w:val="en"/>
        </w:rPr>
      </w:pPr>
      <w:r>
        <w:rPr>
          <w:rFonts w:hint="eastAsia"/>
          <w:bCs/>
          <w:spacing w:val="0"/>
          <w:szCs w:val="20"/>
          <w:lang w:val="en-US" w:eastAsia="zh-CN"/>
        </w:rPr>
        <w:t>4 State Grid Beijing Electric Power Company Overhaul Branch</w:t>
      </w:r>
      <w:r>
        <w:rPr>
          <w:rFonts w:hint="eastAsia"/>
          <w:bCs/>
          <w:spacing w:val="0"/>
          <w:szCs w:val="20"/>
        </w:rPr>
        <w:t xml:space="preserve">  </w:t>
      </w:r>
      <w:r>
        <w:rPr>
          <w:rFonts w:hint="eastAsia"/>
          <w:bCs/>
          <w:spacing w:val="0"/>
          <w:szCs w:val="20"/>
          <w:lang w:val="en-US" w:eastAsia="zh-CN"/>
        </w:rPr>
        <w:t>Beijing</w:t>
      </w:r>
      <w:r>
        <w:rPr>
          <w:bCs/>
          <w:spacing w:val="0"/>
          <w:szCs w:val="20"/>
        </w:rPr>
        <w:t xml:space="preserve">  </w:t>
      </w:r>
      <w:r>
        <w:rPr>
          <w:rFonts w:hint="eastAsia"/>
          <w:bCs/>
          <w:spacing w:val="0"/>
          <w:szCs w:val="20"/>
          <w:lang w:val="en-US" w:eastAsia="zh-CN"/>
        </w:rPr>
        <w:t>100073</w:t>
      </w:r>
      <w:r>
        <w:rPr>
          <w:bCs/>
          <w:spacing w:val="0"/>
          <w:szCs w:val="20"/>
        </w:rPr>
        <w:t xml:space="preserve"> </w:t>
      </w:r>
      <w:r>
        <w:rPr>
          <w:rFonts w:hint="eastAsia"/>
          <w:bCs/>
          <w:spacing w:val="0"/>
          <w:szCs w:val="20"/>
        </w:rPr>
        <w:t xml:space="preserve"> </w:t>
      </w:r>
      <w:r>
        <w:rPr>
          <w:bCs/>
          <w:spacing w:val="0"/>
          <w:szCs w:val="20"/>
        </w:rPr>
        <w:t>China</w:t>
      </w:r>
    </w:p>
    <w:p w14:paraId="789B53C8">
      <w:pPr>
        <w:snapToGrid w:val="0"/>
        <w:ind w:left="424" w:leftChars="200" w:firstLine="0" w:firstLineChars="0"/>
        <w:rPr>
          <w:b/>
          <w:szCs w:val="20"/>
        </w:rPr>
      </w:pPr>
      <w:r>
        <w:rPr>
          <w:szCs w:val="20"/>
          <w:vertAlign w:val="superscript"/>
        </w:rPr>
        <w:t>*</w:t>
      </w:r>
      <w:r>
        <w:rPr>
          <w:rStyle w:val="67"/>
          <w:b w:val="0"/>
          <w:spacing w:val="0"/>
          <w:sz w:val="20"/>
          <w:szCs w:val="20"/>
        </w:rPr>
        <w:t>dongshufeng@zju.edu.cn</w:t>
      </w:r>
    </w:p>
    <w:p w14:paraId="2F4EAEF9">
      <w:pPr>
        <w:ind w:left="424" w:leftChars="200" w:right="424" w:rightChars="200" w:firstLine="0" w:firstLineChars="0"/>
        <w:rPr>
          <w:bCs/>
          <w:spacing w:val="0"/>
          <w:szCs w:val="20"/>
        </w:rPr>
      </w:pPr>
    </w:p>
    <w:p w14:paraId="1715E132">
      <w:pPr>
        <w:ind w:left="424" w:leftChars="200" w:right="424" w:rightChars="200" w:firstLine="0" w:firstLineChars="0"/>
        <w:rPr>
          <w:bCs/>
          <w:spacing w:val="0"/>
          <w:szCs w:val="20"/>
        </w:rPr>
      </w:pPr>
    </w:p>
    <w:p w14:paraId="64B85164">
      <w:pPr>
        <w:spacing w:after="156" w:afterLines="50"/>
        <w:ind w:firstLine="0" w:firstLineChars="0"/>
        <w:rPr>
          <w:rFonts w:hint="eastAsia" w:ascii="Arial" w:hAnsi="Arial"/>
          <w:spacing w:val="0"/>
        </w:rPr>
      </w:pPr>
      <w:r>
        <w:rPr>
          <w:rFonts w:ascii="Arial" w:hAnsi="Arial" w:cs="Arial"/>
          <w:b/>
          <w:spacing w:val="0"/>
        </w:rPr>
        <w:t>Abstract:</w:t>
      </w:r>
      <w:r>
        <w:rPr>
          <w:b/>
          <w:spacing w:val="0"/>
        </w:rPr>
        <w:t xml:space="preserve"> </w:t>
      </w:r>
      <w:r>
        <w:rPr>
          <w:rFonts w:hint="eastAsia" w:ascii="Arial" w:hAnsi="Arial"/>
          <w:spacing w:val="0"/>
        </w:rPr>
        <w:t>To address the challenges posed by frequent source and load fluctuations in existing loop closing current calculation methods, this paper proposes an online loop closing current calculation method that considers source and load uncertainties. First, a dual-stack dynamic monitoring system is utilized to obtain real-time voltage and current variations before and after disturbances. Second, Thevenin</w:t>
      </w:r>
      <w:r>
        <w:rPr>
          <w:rFonts w:hint="default" w:ascii="Arial" w:hAnsi="Arial"/>
          <w:spacing w:val="0"/>
          <w:lang w:val="en-US" w:eastAsia="zh-CN"/>
        </w:rPr>
        <w:t>’</w:t>
      </w:r>
      <w:r>
        <w:rPr>
          <w:rFonts w:hint="eastAsia" w:ascii="Arial" w:hAnsi="Arial"/>
          <w:spacing w:val="0"/>
        </w:rPr>
        <w:t>s theorem is employed to build an equivalent model of the distribution network, simplifying the complex network into a combination of an independent voltage source and a series impedance. Then, the steady-state loop closing current is calculated based on the open-circuit voltage and equivalent impedance at both sides of the loop closing point. Next, the optimal frequency method is applied to determine the equivalent impedance and attenuation time constant at a specific frequency, achieving accurate calculation of the transient loop closing current. Finally, simulations are conducted to model the fluctuations in distributed generation and load, analyzing the steady-state and transient loop closing currents. The simulation results demonstrate that the proposed method accurately captures the effects of source and load fluctuations on the loop closing current in dynamic environments, with minimal calculation error, indicating its high practicality.</w:t>
      </w:r>
    </w:p>
    <w:p w14:paraId="13318333">
      <w:pPr>
        <w:spacing w:after="156" w:afterLines="50"/>
        <w:ind w:firstLine="0" w:firstLineChars="0"/>
        <w:rPr>
          <w:rFonts w:hint="eastAsia" w:ascii="Arial" w:hAnsi="Arial" w:cs="Arial"/>
          <w:bCs/>
          <w:spacing w:val="0"/>
          <w:lang w:val="zh-CN"/>
        </w:rPr>
      </w:pPr>
      <w:r>
        <w:rPr>
          <w:rFonts w:ascii="Arial" w:hAnsi="Arial" w:cs="Arial"/>
          <w:b/>
          <w:caps/>
          <w:spacing w:val="0"/>
        </w:rPr>
        <w:t>k</w:t>
      </w:r>
      <w:r>
        <w:rPr>
          <w:rFonts w:ascii="Arial" w:hAnsi="Arial" w:cs="Arial"/>
          <w:b/>
          <w:spacing w:val="0"/>
        </w:rPr>
        <w:t>eywords</w:t>
      </w:r>
      <w:r>
        <w:rPr>
          <w:rFonts w:ascii="Arial" w:hAnsi="Arial" w:cs="Arial"/>
          <w:b/>
          <w:spacing w:val="0"/>
          <w:lang w:val="en"/>
        </w:rPr>
        <w:t>：</w:t>
      </w:r>
      <w:r>
        <w:rPr>
          <w:rFonts w:hint="eastAsia" w:ascii="Arial" w:hAnsi="Arial" w:cs="Arial"/>
          <w:bCs/>
          <w:spacing w:val="0"/>
          <w:lang w:val="zh-CN"/>
        </w:rPr>
        <w:t xml:space="preserve">Loop </w:t>
      </w:r>
      <w:r>
        <w:rPr>
          <w:rFonts w:hint="eastAsia" w:ascii="Arial" w:hAnsi="Arial" w:cs="Arial"/>
          <w:bCs/>
          <w:spacing w:val="0"/>
          <w:lang w:val="en-US" w:eastAsia="zh-CN"/>
        </w:rPr>
        <w:t>c</w:t>
      </w:r>
      <w:r>
        <w:rPr>
          <w:rFonts w:hint="eastAsia" w:ascii="Arial" w:hAnsi="Arial" w:cs="Arial"/>
          <w:bCs/>
          <w:spacing w:val="0"/>
          <w:lang w:val="zh-CN"/>
        </w:rPr>
        <w:t xml:space="preserve">losing </w:t>
      </w:r>
      <w:r>
        <w:rPr>
          <w:rFonts w:hint="eastAsia" w:ascii="Arial" w:hAnsi="Arial" w:cs="Arial"/>
          <w:bCs/>
          <w:spacing w:val="0"/>
          <w:lang w:val="en-US" w:eastAsia="zh-CN"/>
        </w:rPr>
        <w:t>c</w:t>
      </w:r>
      <w:r>
        <w:rPr>
          <w:rFonts w:hint="eastAsia" w:ascii="Arial" w:hAnsi="Arial" w:cs="Arial"/>
          <w:bCs/>
          <w:spacing w:val="0"/>
          <w:lang w:val="zh-CN"/>
        </w:rPr>
        <w:t xml:space="preserve">urrent </w:t>
      </w:r>
      <w:r>
        <w:rPr>
          <w:rFonts w:hint="eastAsia" w:ascii="Arial" w:hAnsi="Arial" w:cs="Arial"/>
          <w:bCs/>
          <w:spacing w:val="0"/>
          <w:lang w:val="en-US" w:eastAsia="zh-CN"/>
        </w:rPr>
        <w:t>c</w:t>
      </w:r>
      <w:r>
        <w:rPr>
          <w:rFonts w:hint="eastAsia" w:ascii="Arial" w:hAnsi="Arial" w:cs="Arial"/>
          <w:bCs/>
          <w:spacing w:val="0"/>
          <w:lang w:val="zh-CN"/>
        </w:rPr>
        <w:t xml:space="preserve">alculation, </w:t>
      </w:r>
      <w:r>
        <w:rPr>
          <w:rFonts w:hint="eastAsia" w:ascii="Arial" w:hAnsi="Arial" w:cs="Arial"/>
          <w:bCs/>
          <w:spacing w:val="0"/>
          <w:lang w:val="en-US" w:eastAsia="zh-CN"/>
        </w:rPr>
        <w:t>s</w:t>
      </w:r>
      <w:r>
        <w:rPr>
          <w:rFonts w:hint="eastAsia" w:ascii="Arial" w:hAnsi="Arial" w:cs="Arial"/>
          <w:bCs/>
          <w:spacing w:val="0"/>
          <w:lang w:val="zh-CN"/>
        </w:rPr>
        <w:t xml:space="preserve">ource and </w:t>
      </w:r>
      <w:r>
        <w:rPr>
          <w:rFonts w:hint="eastAsia" w:ascii="Arial" w:hAnsi="Arial" w:cs="Arial"/>
          <w:bCs/>
          <w:spacing w:val="0"/>
          <w:lang w:val="en-US" w:eastAsia="zh-CN"/>
        </w:rPr>
        <w:t>l</w:t>
      </w:r>
      <w:r>
        <w:rPr>
          <w:rFonts w:hint="eastAsia" w:ascii="Arial" w:hAnsi="Arial" w:cs="Arial"/>
          <w:bCs/>
          <w:spacing w:val="0"/>
          <w:lang w:val="zh-CN"/>
        </w:rPr>
        <w:t xml:space="preserve">oad </w:t>
      </w:r>
      <w:r>
        <w:rPr>
          <w:rFonts w:hint="eastAsia" w:ascii="Arial" w:hAnsi="Arial" w:cs="Arial"/>
          <w:bCs/>
          <w:spacing w:val="0"/>
          <w:lang w:val="en-US" w:eastAsia="zh-CN"/>
        </w:rPr>
        <w:t>u</w:t>
      </w:r>
      <w:r>
        <w:rPr>
          <w:rFonts w:hint="eastAsia" w:ascii="Arial" w:hAnsi="Arial" w:cs="Arial"/>
          <w:bCs/>
          <w:spacing w:val="0"/>
          <w:lang w:val="zh-CN"/>
        </w:rPr>
        <w:t xml:space="preserve">ncertainty, </w:t>
      </w:r>
      <w:r>
        <w:rPr>
          <w:rFonts w:hint="eastAsia" w:ascii="Arial" w:hAnsi="Arial" w:cs="Arial"/>
          <w:bCs/>
          <w:spacing w:val="0"/>
          <w:lang w:val="en-US" w:eastAsia="zh-CN"/>
        </w:rPr>
        <w:t>d</w:t>
      </w:r>
      <w:r>
        <w:rPr>
          <w:rFonts w:hint="eastAsia" w:ascii="Arial" w:hAnsi="Arial" w:cs="Arial"/>
          <w:bCs/>
          <w:spacing w:val="0"/>
          <w:lang w:val="zh-CN"/>
        </w:rPr>
        <w:t xml:space="preserve">ynamic </w:t>
      </w:r>
      <w:r>
        <w:rPr>
          <w:rFonts w:hint="eastAsia" w:ascii="Arial" w:hAnsi="Arial" w:cs="Arial"/>
          <w:bCs/>
          <w:spacing w:val="0"/>
          <w:lang w:val="en-US" w:eastAsia="zh-CN"/>
        </w:rPr>
        <w:t>m</w:t>
      </w:r>
      <w:r>
        <w:rPr>
          <w:rFonts w:hint="eastAsia" w:ascii="Arial" w:hAnsi="Arial" w:cs="Arial"/>
          <w:bCs/>
          <w:spacing w:val="0"/>
          <w:lang w:val="zh-CN"/>
        </w:rPr>
        <w:t>onitoring, Thevenin</w:t>
      </w:r>
      <w:r>
        <w:rPr>
          <w:rFonts w:hint="default" w:ascii="Times New Roman" w:hAnsi="Times New Roman" w:cs="Times New Roman"/>
          <w:bCs/>
          <w:spacing w:val="0"/>
          <w:lang w:val="zh-CN"/>
        </w:rPr>
        <w:t>’</w:t>
      </w:r>
      <w:r>
        <w:rPr>
          <w:rFonts w:hint="eastAsia" w:ascii="Arial" w:hAnsi="Arial" w:cs="Arial"/>
          <w:bCs/>
          <w:spacing w:val="0"/>
          <w:lang w:val="zh-CN"/>
        </w:rPr>
        <w:t xml:space="preserve">s </w:t>
      </w:r>
      <w:r>
        <w:rPr>
          <w:rFonts w:hint="eastAsia" w:ascii="Arial" w:hAnsi="Arial" w:cs="Arial"/>
          <w:bCs/>
          <w:spacing w:val="0"/>
          <w:lang w:val="en-US" w:eastAsia="zh-CN"/>
        </w:rPr>
        <w:t>t</w:t>
      </w:r>
      <w:r>
        <w:rPr>
          <w:rFonts w:hint="eastAsia" w:ascii="Arial" w:hAnsi="Arial" w:cs="Arial"/>
          <w:bCs/>
          <w:spacing w:val="0"/>
          <w:lang w:val="zh-CN"/>
        </w:rPr>
        <w:t xml:space="preserve">heorem, </w:t>
      </w:r>
      <w:r>
        <w:rPr>
          <w:rFonts w:hint="eastAsia" w:ascii="Arial" w:hAnsi="Arial" w:cs="Arial"/>
          <w:bCs/>
          <w:spacing w:val="0"/>
          <w:lang w:val="en-US" w:eastAsia="zh-CN"/>
        </w:rPr>
        <w:t>o</w:t>
      </w:r>
      <w:r>
        <w:rPr>
          <w:rFonts w:hint="eastAsia" w:ascii="Arial" w:hAnsi="Arial" w:cs="Arial"/>
          <w:bCs/>
          <w:spacing w:val="0"/>
          <w:lang w:val="zh-CN"/>
        </w:rPr>
        <w:t xml:space="preserve">ptimal </w:t>
      </w:r>
      <w:r>
        <w:rPr>
          <w:rFonts w:hint="eastAsia" w:ascii="Arial" w:hAnsi="Arial" w:cs="Arial"/>
          <w:bCs/>
          <w:spacing w:val="0"/>
          <w:lang w:val="en-US" w:eastAsia="zh-CN"/>
        </w:rPr>
        <w:t>f</w:t>
      </w:r>
      <w:r>
        <w:rPr>
          <w:rFonts w:hint="eastAsia" w:ascii="Arial" w:hAnsi="Arial" w:cs="Arial"/>
          <w:bCs/>
          <w:spacing w:val="0"/>
          <w:lang w:val="zh-CN"/>
        </w:rPr>
        <w:t>requency</w:t>
      </w:r>
    </w:p>
    <w:p w14:paraId="60033B72">
      <w:pPr>
        <w:spacing w:after="156" w:afterLines="50"/>
        <w:ind w:firstLine="0" w:firstLineChars="0"/>
        <w:rPr>
          <w:rFonts w:ascii="Arial" w:hAnsi="Arial" w:cs="Arial"/>
          <w:color w:val="000000"/>
          <w:spacing w:val="0"/>
        </w:rPr>
      </w:pPr>
    </w:p>
    <w:p w14:paraId="4BFE50AF">
      <w:pPr>
        <w:pStyle w:val="5"/>
        <w:ind w:left="360" w:hanging="360"/>
        <w:rPr>
          <w:spacing w:val="0"/>
          <w:lang w:val="en-US"/>
        </w:rPr>
        <w:sectPr>
          <w:headerReference r:id="rId7" w:type="first"/>
          <w:footerReference r:id="rId10" w:type="first"/>
          <w:headerReference r:id="rId5" w:type="default"/>
          <w:footerReference r:id="rId8" w:type="default"/>
          <w:headerReference r:id="rId6" w:type="even"/>
          <w:footerReference r:id="rId9" w:type="even"/>
          <w:pgSz w:w="11907" w:h="16160"/>
          <w:pgMar w:top="1474" w:right="1077" w:bottom="851" w:left="1077" w:header="680" w:footer="680" w:gutter="0"/>
          <w:cols w:space="425" w:num="1"/>
          <w:titlePg/>
          <w:docGrid w:type="lines" w:linePitch="312" w:charSpace="0"/>
        </w:sectPr>
      </w:pPr>
    </w:p>
    <w:p w14:paraId="33267727">
      <w:pPr>
        <w:adjustRightInd w:val="0"/>
        <w:snapToGrid w:val="0"/>
        <w:spacing w:line="20" w:lineRule="exact"/>
        <w:ind w:firstLine="400"/>
        <w:rPr>
          <w:spacing w:val="0"/>
        </w:rPr>
      </w:pPr>
    </w:p>
    <w:p w14:paraId="65B5EB82">
      <w:pPr>
        <w:pStyle w:val="55"/>
        <w:ind w:left="301" w:hanging="301"/>
        <w:rPr>
          <w:rFonts w:ascii="Arial" w:hAnsi="Arial" w:cs="Arial"/>
          <w:spacing w:val="0"/>
          <w:sz w:val="20"/>
        </w:rPr>
      </w:pPr>
      <w:r>
        <w:rPr>
          <w:rFonts w:ascii="Arial" w:hAnsi="Arial" w:cs="Arial"/>
          <w:b/>
          <w:bCs/>
          <w:spacing w:val="0"/>
          <w:sz w:val="20"/>
        </w:rPr>
        <w:t>1</w:t>
      </w:r>
      <w:r>
        <w:rPr>
          <w:rFonts w:hint="eastAsia" w:ascii="Arial" w:hAnsi="Arial" w:cs="Arial"/>
          <w:b/>
          <w:bCs/>
          <w:spacing w:val="0"/>
          <w:sz w:val="20"/>
          <w:lang w:eastAsia="zh-CN"/>
        </w:rPr>
        <w:t>.</w:t>
      </w:r>
      <w:r>
        <w:rPr>
          <w:rFonts w:ascii="Arial" w:hAnsi="Arial" w:cs="Arial"/>
          <w:spacing w:val="0"/>
          <w:sz w:val="20"/>
        </w:rPr>
        <w:t xml:space="preserve">  </w:t>
      </w:r>
      <w:r>
        <w:rPr>
          <w:rFonts w:ascii="Arial" w:hAnsi="Arial" w:cs="Arial"/>
          <w:b/>
          <w:spacing w:val="0"/>
          <w:sz w:val="20"/>
          <w:lang w:eastAsia="zh-CN"/>
        </w:rPr>
        <w:t>I</w:t>
      </w:r>
      <w:r>
        <w:rPr>
          <w:rFonts w:ascii="Arial" w:hAnsi="Arial" w:cs="Arial"/>
          <w:b/>
          <w:spacing w:val="0"/>
          <w:sz w:val="20"/>
        </w:rPr>
        <w:t>ntroduction</w:t>
      </w:r>
    </w:p>
    <w:p w14:paraId="3D5CBB0A">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Loop closing operation is a crucial aspect of power grid management, essential for ensuring the safety and stability of the grid [1]. During loop closing, differences in voltage and impedance across various regions can induce current fluctuations [2</w:t>
      </w:r>
      <w:r>
        <w:rPr>
          <w:rFonts w:hint="eastAsia"/>
          <w:color w:val="auto"/>
          <w:spacing w:val="0"/>
          <w:lang w:val="en-US" w:eastAsia="zh-CN"/>
        </w:rPr>
        <w:t xml:space="preserve">, </w:t>
      </w:r>
      <w:r>
        <w:rPr>
          <w:color w:val="auto"/>
          <w:spacing w:val="0"/>
        </w:rPr>
        <w:t>3]. If the actual current exceeds the safety threshold but is not accurately reflected in the calculations, it may lead to erroneous loop closing operations, resulting in equipment overload or relay protection malfunctions, which could severely compromise the reliability and stability of the distribution network [4]. Therefore, accurately calculating the loop closing current has become a critical challenge in the operation of complex distribution networks.</w:t>
      </w:r>
    </w:p>
    <w:p w14:paraId="7EA8B7E5">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At present, the calculation of loop closing current primarily relies on topological analysis and equivalent modeling of power systems [5]. Existing modeling methods include both offline and online calculations. Offline calculations mainly use static equivalence methods, which provide relatively accurate results based on known information and are suitable for grid planning and static analysis, such as the Ward equivalent [6], radial equivalent [7], and Thevenin equivalent [8]. However, with the high penetration of distributed generation, offline methods struggle to respond in real-time to source and load fluctuations, thus affecting the accuracy of loop closing current calculations [9</w:t>
      </w:r>
      <w:r>
        <w:rPr>
          <w:rFonts w:hint="eastAsia"/>
          <w:color w:val="auto"/>
          <w:spacing w:val="0"/>
          <w:lang w:val="en-US" w:eastAsia="zh-CN"/>
        </w:rPr>
        <w:t xml:space="preserve">, </w:t>
      </w:r>
      <w:r>
        <w:rPr>
          <w:color w:val="auto"/>
          <w:spacing w:val="0"/>
        </w:rPr>
        <w:t>10].</w:t>
      </w:r>
    </w:p>
    <w:p w14:paraId="290F55AC">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To overcome the limitations of offline calculations, online calculation methods have become a research focus, typically divided into detailed and simplified modeling approaches [11</w:t>
      </w:r>
      <w:r>
        <w:rPr>
          <w:rFonts w:hint="eastAsia"/>
          <w:color w:val="auto"/>
          <w:spacing w:val="0"/>
          <w:lang w:val="en-US" w:eastAsia="zh-CN"/>
        </w:rPr>
        <w:t xml:space="preserve">, </w:t>
      </w:r>
      <w:r>
        <w:rPr>
          <w:color w:val="auto"/>
          <w:spacing w:val="0"/>
        </w:rPr>
        <w:t>12]. Detailed modeling methods provide high computational accuracy by precisely simulating the topology and dynamic behavior of the power grid. In [13], a depth-first search algorithm based on directed graphs was used to obtain the loop topology, followed by detailed modeling of each node. References [14-16] proposed a series of general modeling methods and improvements tailored for active distribution networks. However, as the system scale expands, the computational complexity of detailed modeling in multi-node, complex scenarios increases significantly, with the computation load growing exponentially. This not only prolongs the iterative process but may also lead to non-convergence.</w:t>
      </w:r>
    </w:p>
    <w:p w14:paraId="2F549CBA">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In contrast, simplified modeling methods enhance computational efficiency by simplifying the topological structure and equivalent processing. Reference [17] employed a third harmonic injection method to estimate grid impedance, but the introduction of external disturbances led to voltage and current distortions, affecting the accuracy of impedance calculation. Reference [18] utilized the extended Kalman filter to estimate the equivalent impedance of the grid in real time, but it relied on large-scale state-space models and Jacobian matrices, which increased computational complexity. Reference [19] compared detailed power flow analysis, simplified power flow analysis, and approximate formula methods, noting that while detailed power flow analysis offers higher accuracy, its computational process is more complex. Simplified and approximate formula methods, on the other hand, significantly reduce computational load, and although there is a slight decrease in accuracy, they remain applicable to most practical scenarios without requiring complex iterative processes. Compared to detailed modeling methods, simplified methods not only improve computational speed but also allow for rapid response to system changes, making them suitable for scenarios with frequent dynamic variations.</w:t>
      </w:r>
    </w:p>
    <w:p w14:paraId="004D9E66">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The analysis of loop closing current primarily involves the calculation of steady-state and transient currents. Steady-state current reflects the system’s operating characteristics after the loop closing process has reached equilibrium, typically relying on the equivalent model of the system. Transient current, on the other hand, is a short-term peak current caused by voltage differences at the moment of loop closing, which involves complex transient processes [20]. Reference [21] utilized the Newton-Raphson method for detailed modeling of the power grid, iteratively solving for power flow and voltage to obtain the steady-state loop closing current. Reference [22] analyzed the impact of different types of inverters and control strategies on the loop closing current and proposed a transient expression of the current, though no specific numerical calculations were performed. Reference [23] calculated transient currents through a multi-exponential decay transient current equation, but the complexity of the solution increased significantly with the grid’s complexity. Reference [24] derived the formula for calculating the maximum value of transient loop closing current, but did not provide detailed analysis of parameters such as the attenuation time constant.</w:t>
      </w:r>
    </w:p>
    <w:p w14:paraId="7879A78E">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To address the limitations of existing studies, this paper proposes an online loop closing current calculation method that considers source and load uncertainties. The method introduces a dual-stack structure to monitor real-time voltage and current variations in the grid, capturing the source and load disturbance processes. Based on Thevenin’s theorem, the complex distribution network is simplified into a series representation of open-circuit voltage and equivalent impedance, enabling accurate calculation of both steady-state and transient currents. The main contributions of this paper are as follows:</w:t>
      </w:r>
    </w:p>
    <w:p w14:paraId="151C879F">
      <w:pPr>
        <w:keepNext w:val="0"/>
        <w:keepLines w:val="0"/>
        <w:pageBreakBefore w:val="0"/>
        <w:widowControl w:val="0"/>
        <w:numPr>
          <w:ilvl w:val="0"/>
          <w:numId w:val="4"/>
        </w:numPr>
        <w:kinsoku/>
        <w:wordWrap/>
        <w:overflowPunct/>
        <w:topLinePunct w:val="0"/>
        <w:autoSpaceDE/>
        <w:autoSpaceDN/>
        <w:bidi w:val="0"/>
        <w:adjustRightInd/>
        <w:snapToGrid/>
        <w:ind w:left="283" w:hanging="283" w:firstLineChars="0"/>
        <w:textAlignment w:val="auto"/>
        <w:rPr>
          <w:color w:val="auto"/>
          <w:spacing w:val="0"/>
        </w:rPr>
      </w:pPr>
      <w:r>
        <w:rPr>
          <w:color w:val="auto"/>
          <w:spacing w:val="0"/>
        </w:rPr>
        <w:t>The dual-stack structure enables real-time monitoring of voltage and current changes before and after disturbances, providing robust data support for constructing the equivalent model and accurately calculating the loop closing current during system dynamic fluctuations.</w:t>
      </w:r>
    </w:p>
    <w:p w14:paraId="6A8A44FF">
      <w:pPr>
        <w:keepNext w:val="0"/>
        <w:keepLines w:val="0"/>
        <w:pageBreakBefore w:val="0"/>
        <w:widowControl w:val="0"/>
        <w:numPr>
          <w:ilvl w:val="0"/>
          <w:numId w:val="4"/>
        </w:numPr>
        <w:kinsoku/>
        <w:wordWrap/>
        <w:overflowPunct/>
        <w:topLinePunct w:val="0"/>
        <w:autoSpaceDE/>
        <w:autoSpaceDN/>
        <w:bidi w:val="0"/>
        <w:adjustRightInd/>
        <w:snapToGrid/>
        <w:ind w:left="283" w:hanging="283" w:firstLineChars="0"/>
        <w:textAlignment w:val="auto"/>
        <w:rPr>
          <w:color w:val="auto"/>
          <w:spacing w:val="0"/>
        </w:rPr>
      </w:pPr>
      <w:r>
        <w:rPr>
          <w:color w:val="auto"/>
          <w:spacing w:val="0"/>
        </w:rPr>
        <w:t>Using system disturbances and Thevenin’s theorem, the proposed method simplifies the modeling of complex branches and distributed generation without introducing external disturbances. This approach significantly reduces modeling and computational complexity, improving efficiency, and making it suitable for large-scale applications in complex distribution networks.</w:t>
      </w:r>
    </w:p>
    <w:p w14:paraId="7F7B8757">
      <w:pPr>
        <w:keepNext w:val="0"/>
        <w:keepLines w:val="0"/>
        <w:pageBreakBefore w:val="0"/>
        <w:widowControl w:val="0"/>
        <w:numPr>
          <w:ilvl w:val="0"/>
          <w:numId w:val="4"/>
        </w:numPr>
        <w:kinsoku/>
        <w:wordWrap/>
        <w:overflowPunct/>
        <w:topLinePunct w:val="0"/>
        <w:autoSpaceDE/>
        <w:autoSpaceDN/>
        <w:bidi w:val="0"/>
        <w:adjustRightInd/>
        <w:snapToGrid/>
        <w:ind w:left="283" w:hanging="283" w:firstLineChars="0"/>
        <w:textAlignment w:val="auto"/>
        <w:rPr>
          <w:color w:val="auto"/>
          <w:spacing w:val="0"/>
        </w:rPr>
      </w:pPr>
      <w:r>
        <w:rPr>
          <w:color w:val="auto"/>
          <w:spacing w:val="0"/>
        </w:rPr>
        <w:t>By combining steady-state current calculations with the optimal frequency method, the proposed method comprehensively analyzes the current behavior during the loop closing process. In addition to steady-state current calculation, the optimal frequency method is used to evaluate transient loop closing current, enabling a complete assessment of both steady-state and transient currents.</w:t>
      </w:r>
    </w:p>
    <w:p w14:paraId="6E0E0FB1">
      <w:pPr>
        <w:keepNext w:val="0"/>
        <w:keepLines w:val="0"/>
        <w:pageBreakBefore w:val="0"/>
        <w:widowControl w:val="0"/>
        <w:kinsoku/>
        <w:wordWrap/>
        <w:overflowPunct/>
        <w:topLinePunct w:val="0"/>
        <w:autoSpaceDE/>
        <w:autoSpaceDN/>
        <w:bidi w:val="0"/>
        <w:adjustRightInd/>
        <w:snapToGrid/>
        <w:ind w:firstLine="283" w:firstLineChars="0"/>
        <w:textAlignment w:val="auto"/>
        <w:rPr>
          <w:color w:val="auto"/>
          <w:spacing w:val="0"/>
        </w:rPr>
      </w:pPr>
      <w:r>
        <w:rPr>
          <w:color w:val="auto"/>
          <w:spacing w:val="0"/>
        </w:rPr>
        <w:t>The structure of this paper is as follows: Section II briefly analyzes the impact of source and load uncertainty on loop closing current calculation; Section III details the online construction method of the equivalent model for distribution networks; Section IV presents the calculation method for steady-state and transient loop closing currents; Section V validates the proposed method through simulation analysis; finally, Section VI concludes the paper.</w:t>
      </w:r>
    </w:p>
    <w:p w14:paraId="12349DBB">
      <w:pPr>
        <w:pStyle w:val="55"/>
        <w:spacing w:before="240" w:after="60"/>
        <w:ind w:left="357" w:hanging="357" w:firstLineChars="0"/>
        <w:rPr>
          <w:rFonts w:ascii="Arial" w:hAnsi="Arial" w:cs="Arial"/>
          <w:b/>
          <w:spacing w:val="0"/>
          <w:sz w:val="20"/>
          <w:lang w:eastAsia="zh-CN"/>
        </w:rPr>
      </w:pPr>
      <w:r>
        <w:rPr>
          <w:rFonts w:ascii="Arial" w:hAnsi="Arial" w:cs="Arial"/>
          <w:b/>
          <w:bCs/>
          <w:spacing w:val="0"/>
          <w:sz w:val="20"/>
        </w:rPr>
        <w:t>2</w:t>
      </w:r>
      <w:r>
        <w:rPr>
          <w:rFonts w:hint="eastAsia" w:ascii="Arial" w:hAnsi="Arial" w:cs="Arial"/>
          <w:b/>
          <w:bCs/>
          <w:spacing w:val="0"/>
          <w:sz w:val="20"/>
          <w:lang w:eastAsia="zh-CN"/>
        </w:rPr>
        <w:t>.</w:t>
      </w:r>
      <w:r>
        <w:rPr>
          <w:rFonts w:ascii="Arial" w:hAnsi="Arial" w:cs="Arial"/>
          <w:spacing w:val="0"/>
          <w:sz w:val="20"/>
        </w:rPr>
        <w:t xml:space="preserve">  </w:t>
      </w:r>
      <w:r>
        <w:rPr>
          <w:rFonts w:hint="eastAsia" w:ascii="Arial" w:hAnsi="Arial" w:cs="Arial"/>
          <w:b/>
          <w:spacing w:val="0"/>
          <w:sz w:val="20"/>
        </w:rPr>
        <w:t>Analysis of typical loop closing scenarios and source-load uncertainty</w:t>
      </w:r>
    </w:p>
    <w:p w14:paraId="16A14A14">
      <w:pPr>
        <w:keepNext w:val="0"/>
        <w:keepLines w:val="0"/>
        <w:pageBreakBefore w:val="0"/>
        <w:widowControl w:val="0"/>
        <w:kinsoku/>
        <w:wordWrap/>
        <w:overflowPunct/>
        <w:topLinePunct w:val="0"/>
        <w:autoSpaceDE/>
        <w:autoSpaceDN/>
        <w:bidi w:val="0"/>
        <w:adjustRightInd/>
        <w:snapToGrid/>
        <w:ind w:firstLine="283" w:firstLineChars="0"/>
        <w:textAlignment w:val="auto"/>
        <w:rPr>
          <w:rFonts w:hint="eastAsia"/>
          <w:spacing w:val="0"/>
        </w:rPr>
      </w:pPr>
      <w:r>
        <w:rPr>
          <w:rFonts w:hint="eastAsia"/>
          <w:spacing w:val="0"/>
        </w:rPr>
        <w:t>A typical loop closing scenario in a distribution network is illustrated in Fig</w:t>
      </w:r>
      <w:r>
        <w:rPr>
          <w:rFonts w:hint="eastAsia"/>
          <w:spacing w:val="0"/>
          <w:lang w:val="en-US" w:eastAsia="zh-CN"/>
        </w:rPr>
        <w:t>ure</w:t>
      </w:r>
      <w:r>
        <w:rPr>
          <w:rFonts w:hint="eastAsia"/>
          <w:spacing w:val="0"/>
        </w:rPr>
        <w:t xml:space="preserve"> 1. Before executing the loop closing operation, there is usually a voltage difference between the two sides of the loop closing point due to the network </w:t>
      </w:r>
      <w:r>
        <w:rPr>
          <w:rFonts w:hint="eastAsia"/>
          <w:color w:val="auto"/>
          <w:spacing w:val="0"/>
        </w:rPr>
        <w:t xml:space="preserve">structure </w:t>
      </w:r>
      <w:r>
        <w:rPr>
          <w:rFonts w:hint="eastAsia"/>
          <w:spacing w:val="0"/>
        </w:rPr>
        <w:t>and operating conditions. When the loop closing operation is performed, this voltage difference rapidly drops to zero, generating an instantaneous current at the loop closing switch. The magnitude and attenuation characteristics of this current are influenced by system electrical parameters and the distribution of distributed generation and loads.</w:t>
      </w:r>
    </w:p>
    <w:p w14:paraId="2E0CEB8D">
      <w:pPr>
        <w:keepNext w:val="0"/>
        <w:keepLines w:val="0"/>
        <w:pageBreakBefore w:val="0"/>
        <w:widowControl w:val="0"/>
        <w:kinsoku/>
        <w:wordWrap/>
        <w:overflowPunct/>
        <w:topLinePunct w:val="0"/>
        <w:autoSpaceDE/>
        <w:autoSpaceDN/>
        <w:bidi w:val="0"/>
        <w:adjustRightInd/>
        <w:snapToGrid/>
        <w:ind w:firstLine="283" w:firstLineChars="0"/>
        <w:textAlignment w:val="auto"/>
        <w:rPr>
          <w:rFonts w:hint="eastAsia"/>
          <w:spacing w:val="0"/>
        </w:rPr>
      </w:pPr>
      <w:r>
        <w:rPr>
          <w:rFonts w:hint="eastAsia"/>
          <w:spacing w:val="0"/>
        </w:rPr>
        <w:t xml:space="preserve">Based on </w:t>
      </w:r>
      <w:r>
        <w:rPr>
          <w:rFonts w:hint="eastAsia"/>
          <w:color w:val="auto"/>
          <w:spacing w:val="0"/>
        </w:rPr>
        <w:t xml:space="preserve">the </w:t>
      </w:r>
      <w:r>
        <w:rPr>
          <w:rFonts w:hint="eastAsia"/>
          <w:spacing w:val="0"/>
        </w:rPr>
        <w:t>upstream network topology and operating conditions, loop closing scenarios can be classified into the following two types:</w:t>
      </w:r>
    </w:p>
    <w:p w14:paraId="3BBE3D3C">
      <w:pPr>
        <w:keepNext w:val="0"/>
        <w:keepLines w:val="0"/>
        <w:pageBreakBefore w:val="0"/>
        <w:widowControl w:val="0"/>
        <w:numPr>
          <w:ilvl w:val="0"/>
          <w:numId w:val="5"/>
        </w:numPr>
        <w:kinsoku/>
        <w:wordWrap/>
        <w:overflowPunct/>
        <w:topLinePunct w:val="0"/>
        <w:autoSpaceDE/>
        <w:autoSpaceDN/>
        <w:bidi w:val="0"/>
        <w:adjustRightInd/>
        <w:snapToGrid/>
        <w:ind w:left="283" w:hanging="283" w:firstLineChars="0"/>
        <w:textAlignment w:val="auto"/>
        <w:rPr>
          <w:rFonts w:hint="eastAsia"/>
          <w:spacing w:val="0"/>
        </w:rPr>
      </w:pPr>
      <w:r>
        <w:rPr>
          <w:rFonts w:hint="eastAsia"/>
          <w:spacing w:val="0"/>
        </w:rPr>
        <w:t>Same feeder or same transformer line (e.g., loop closing point between B1 and B3 in Fig</w:t>
      </w:r>
      <w:r>
        <w:rPr>
          <w:rFonts w:hint="eastAsia"/>
          <w:spacing w:val="0"/>
          <w:lang w:val="en-US" w:eastAsia="zh-CN"/>
        </w:rPr>
        <w:t>ure</w:t>
      </w:r>
      <w:r>
        <w:rPr>
          <w:rFonts w:hint="eastAsia"/>
          <w:spacing w:val="0"/>
        </w:rPr>
        <w:t xml:space="preserve"> 1). The voltage difference at the loop closing point is mainly affected by the feeder impedance and distributed generation and load, typically resulting in a smaller voltage difference;</w:t>
      </w:r>
    </w:p>
    <w:p w14:paraId="715CE9CF">
      <w:pPr>
        <w:keepNext w:val="0"/>
        <w:keepLines w:val="0"/>
        <w:pageBreakBefore w:val="0"/>
        <w:widowControl w:val="0"/>
        <w:numPr>
          <w:ilvl w:val="0"/>
          <w:numId w:val="5"/>
        </w:numPr>
        <w:kinsoku/>
        <w:wordWrap/>
        <w:overflowPunct/>
        <w:topLinePunct w:val="0"/>
        <w:autoSpaceDE/>
        <w:autoSpaceDN/>
        <w:bidi w:val="0"/>
        <w:adjustRightInd/>
        <w:snapToGrid/>
        <w:ind w:left="283" w:hanging="283" w:firstLineChars="0"/>
        <w:textAlignment w:val="auto"/>
        <w:rPr>
          <w:rFonts w:hint="eastAsia"/>
          <w:spacing w:val="0"/>
        </w:rPr>
      </w:pPr>
      <w:r>
        <w:rPr>
          <w:rFonts w:hint="eastAsia"/>
          <w:spacing w:val="0"/>
        </w:rPr>
        <w:t>Different substation lines (e.g., loop closing point between B2 and B4 in Fig</w:t>
      </w:r>
      <w:r>
        <w:rPr>
          <w:rFonts w:hint="eastAsia"/>
          <w:spacing w:val="0"/>
          <w:lang w:val="en-US" w:eastAsia="zh-CN"/>
        </w:rPr>
        <w:t>ure</w:t>
      </w:r>
      <w:r>
        <w:rPr>
          <w:rFonts w:hint="eastAsia"/>
          <w:spacing w:val="0"/>
        </w:rPr>
        <w:t xml:space="preserve"> 1). The loop closing point is located between different substations, and the operating conditions of the upstream grid differ, leading to a larger voltage difference at the loop closing point.</w:t>
      </w:r>
    </w:p>
    <w:p w14:paraId="72164524">
      <w:pPr>
        <w:widowControl/>
        <w:ind w:firstLine="0" w:firstLineChars="0"/>
        <w:jc w:val="center"/>
        <w:rPr>
          <w:rFonts w:ascii="宋体" w:hAnsi="宋体" w:cs="宋体"/>
          <w:spacing w:val="0"/>
          <w:kern w:val="0"/>
          <w:sz w:val="24"/>
        </w:rPr>
      </w:pPr>
      <w:r>
        <w:rPr>
          <w:rFonts w:hint="eastAsia"/>
          <w:lang w:val="en-US" w:eastAsia="zh-CN"/>
        </w:rPr>
        <w:object>
          <v:shape id="_x0000_i1025" o:spt="75" type="#_x0000_t75" style="height:123pt;width:220.5pt;" o:ole="t" filled="f" o:preferrelative="t" stroked="f" coordsize="21600,21600">
            <v:path/>
            <v:fill on="f" focussize="0,0"/>
            <v:stroke on="f"/>
            <v:imagedata r:id="rId16" o:title=""/>
            <o:lock v:ext="edit" aspectratio="f"/>
            <w10:wrap type="none"/>
            <w10:anchorlock/>
          </v:shape>
          <o:OLEObject Type="Embed" ProgID="Visio.Drawing.15" ShapeID="_x0000_i1025" DrawAspect="Content" ObjectID="_1468075725" r:id="rId15">
            <o:LockedField>false</o:LockedField>
          </o:OLEObject>
        </w:object>
      </w:r>
    </w:p>
    <w:p w14:paraId="5B677288">
      <w:pPr>
        <w:pStyle w:val="50"/>
        <w:ind w:firstLine="0" w:firstLineChars="0"/>
        <w:jc w:val="left"/>
        <w:rPr>
          <w:bCs/>
          <w:i w:val="0"/>
          <w:iCs/>
          <w:spacing w:val="0"/>
          <w:sz w:val="18"/>
          <w:szCs w:val="18"/>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b/>
          <w:i w:val="0"/>
          <w:iCs/>
          <w:spacing w:val="0"/>
          <w:sz w:val="18"/>
          <w:szCs w:val="18"/>
          <w:lang w:val="en-US"/>
        </w:rPr>
        <w:t>1</w:t>
      </w:r>
      <w:r>
        <w:rPr>
          <w:rFonts w:hint="eastAsia"/>
          <w:b/>
          <w:i w:val="0"/>
          <w:iCs/>
          <w:spacing w:val="0"/>
          <w:sz w:val="18"/>
          <w:szCs w:val="18"/>
          <w:lang w:val="en-US" w:eastAsia="zh-CN"/>
        </w:rPr>
        <w:t xml:space="preserve">  </w:t>
      </w:r>
      <w:r>
        <w:rPr>
          <w:rFonts w:hint="eastAsia"/>
          <w:bCs/>
          <w:i w:val="0"/>
          <w:iCs/>
          <w:spacing w:val="0"/>
          <w:sz w:val="18"/>
          <w:szCs w:val="18"/>
        </w:rPr>
        <w:t>Schematic diagram of a typical distribution network loop closure scenario</w:t>
      </w:r>
    </w:p>
    <w:p w14:paraId="15BF1E2A">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szCs w:val="20"/>
        </w:rPr>
      </w:pPr>
      <w:r>
        <w:rPr>
          <w:rFonts w:hint="eastAsia"/>
          <w:spacing w:val="0"/>
          <w:sz w:val="20"/>
          <w:szCs w:val="20"/>
        </w:rPr>
        <w:t xml:space="preserve">The uncertainty of distributed generation and loads plays a crucial role in the </w:t>
      </w:r>
      <w:r>
        <w:rPr>
          <w:rFonts w:hint="eastAsia"/>
          <w:spacing w:val="0"/>
        </w:rPr>
        <w:t xml:space="preserve">formation </w:t>
      </w:r>
      <w:r>
        <w:rPr>
          <w:rFonts w:hint="eastAsia"/>
          <w:spacing w:val="0"/>
          <w:sz w:val="20"/>
          <w:szCs w:val="20"/>
        </w:rPr>
        <w:t>of loop closing currents, primarily influencing the following aspects:</w:t>
      </w:r>
    </w:p>
    <w:p w14:paraId="7337014A">
      <w:pPr>
        <w:keepNext w:val="0"/>
        <w:keepLines w:val="0"/>
        <w:pageBreakBefore w:val="0"/>
        <w:widowControl w:val="0"/>
        <w:numPr>
          <w:ilvl w:val="0"/>
          <w:numId w:val="6"/>
        </w:numPr>
        <w:kinsoku/>
        <w:wordWrap/>
        <w:overflowPunct/>
        <w:topLinePunct w:val="0"/>
        <w:autoSpaceDE/>
        <w:autoSpaceDN/>
        <w:bidi w:val="0"/>
        <w:adjustRightInd/>
        <w:snapToGrid/>
        <w:ind w:left="283" w:hanging="283" w:firstLineChars="0"/>
        <w:textAlignment w:val="auto"/>
        <w:rPr>
          <w:rFonts w:hint="eastAsia"/>
          <w:spacing w:val="0"/>
          <w:sz w:val="20"/>
          <w:szCs w:val="20"/>
        </w:rPr>
      </w:pPr>
      <w:r>
        <w:rPr>
          <w:rFonts w:hint="eastAsia"/>
          <w:spacing w:val="0"/>
          <w:sz w:val="20"/>
          <w:szCs w:val="20"/>
        </w:rPr>
        <w:t xml:space="preserve">In high-renewable-energy scenarios, the volatility of </w:t>
      </w:r>
      <w:r>
        <w:rPr>
          <w:rFonts w:hint="eastAsia"/>
          <w:spacing w:val="0"/>
        </w:rPr>
        <w:t xml:space="preserve">distributed </w:t>
      </w:r>
      <w:r>
        <w:rPr>
          <w:rFonts w:hint="eastAsia"/>
          <w:spacing w:val="0"/>
          <w:sz w:val="20"/>
          <w:szCs w:val="20"/>
        </w:rPr>
        <w:t>generation directly affects the magnitude and dynamic characteristics of the loop closing current;</w:t>
      </w:r>
    </w:p>
    <w:p w14:paraId="34FF873D">
      <w:pPr>
        <w:keepNext w:val="0"/>
        <w:keepLines w:val="0"/>
        <w:pageBreakBefore w:val="0"/>
        <w:widowControl w:val="0"/>
        <w:numPr>
          <w:ilvl w:val="0"/>
          <w:numId w:val="6"/>
        </w:numPr>
        <w:kinsoku/>
        <w:wordWrap/>
        <w:overflowPunct/>
        <w:topLinePunct w:val="0"/>
        <w:autoSpaceDE/>
        <w:autoSpaceDN/>
        <w:bidi w:val="0"/>
        <w:adjustRightInd/>
        <w:snapToGrid/>
        <w:ind w:left="283" w:hanging="283" w:firstLineChars="0"/>
        <w:textAlignment w:val="auto"/>
        <w:rPr>
          <w:rFonts w:hint="eastAsia"/>
          <w:spacing w:val="0"/>
          <w:sz w:val="20"/>
          <w:szCs w:val="20"/>
        </w:rPr>
      </w:pPr>
      <w:r>
        <w:rPr>
          <w:rFonts w:hint="eastAsia"/>
          <w:spacing w:val="0"/>
          <w:sz w:val="20"/>
          <w:szCs w:val="20"/>
        </w:rPr>
        <w:t xml:space="preserve">In high-load-density scenarios, such as urban distribution </w:t>
      </w:r>
      <w:r>
        <w:rPr>
          <w:rFonts w:hint="eastAsia"/>
          <w:spacing w:val="0"/>
        </w:rPr>
        <w:t>networks</w:t>
      </w:r>
      <w:r>
        <w:rPr>
          <w:rFonts w:hint="eastAsia"/>
          <w:spacing w:val="0"/>
          <w:sz w:val="20"/>
          <w:szCs w:val="20"/>
        </w:rPr>
        <w:t>, the load impedance's shunting effect during loop closing becomes more pronounced;</w:t>
      </w:r>
    </w:p>
    <w:p w14:paraId="67DD1967">
      <w:pPr>
        <w:keepNext w:val="0"/>
        <w:keepLines w:val="0"/>
        <w:pageBreakBefore w:val="0"/>
        <w:widowControl w:val="0"/>
        <w:numPr>
          <w:ilvl w:val="0"/>
          <w:numId w:val="6"/>
        </w:numPr>
        <w:kinsoku/>
        <w:wordWrap/>
        <w:overflowPunct/>
        <w:topLinePunct w:val="0"/>
        <w:autoSpaceDE/>
        <w:autoSpaceDN/>
        <w:bidi w:val="0"/>
        <w:adjustRightInd/>
        <w:snapToGrid/>
        <w:ind w:left="283" w:hanging="283" w:firstLineChars="0"/>
        <w:textAlignment w:val="auto"/>
        <w:rPr>
          <w:rFonts w:hint="eastAsia"/>
          <w:spacing w:val="0"/>
          <w:sz w:val="20"/>
          <w:szCs w:val="20"/>
        </w:rPr>
      </w:pPr>
      <w:r>
        <w:rPr>
          <w:rFonts w:hint="eastAsia"/>
          <w:spacing w:val="0"/>
          <w:sz w:val="20"/>
          <w:szCs w:val="20"/>
        </w:rPr>
        <w:t xml:space="preserve">The location and number of distributed generation and load connections alter the impedance distribution and </w:t>
      </w:r>
      <w:r>
        <w:rPr>
          <w:rFonts w:hint="eastAsia"/>
          <w:spacing w:val="0"/>
        </w:rPr>
        <w:t xml:space="preserve">power </w:t>
      </w:r>
      <w:r>
        <w:rPr>
          <w:rFonts w:hint="eastAsia"/>
          <w:spacing w:val="0"/>
          <w:sz w:val="20"/>
          <w:szCs w:val="20"/>
        </w:rPr>
        <w:t xml:space="preserve">characteristics of the distribution network. Particularly when the connection points are close to the loop closing point, they have a direct impact on the loop closing current. </w:t>
      </w:r>
    </w:p>
    <w:p w14:paraId="31606782">
      <w:pPr>
        <w:keepNext w:val="0"/>
        <w:keepLines w:val="0"/>
        <w:pageBreakBefore w:val="0"/>
        <w:widowControl w:val="0"/>
        <w:kinsoku/>
        <w:wordWrap/>
        <w:overflowPunct/>
        <w:topLinePunct w:val="0"/>
        <w:autoSpaceDE/>
        <w:autoSpaceDN/>
        <w:bidi w:val="0"/>
        <w:adjustRightInd/>
        <w:snapToGrid/>
        <w:ind w:firstLine="283" w:firstLineChars="0"/>
        <w:textAlignment w:val="auto"/>
        <w:rPr>
          <w:rFonts w:hint="eastAsia"/>
          <w:spacing w:val="0"/>
          <w:sz w:val="20"/>
          <w:szCs w:val="20"/>
        </w:rPr>
      </w:pPr>
      <w:r>
        <w:rPr>
          <w:rFonts w:hint="eastAsia"/>
          <w:spacing w:val="0"/>
          <w:sz w:val="20"/>
          <w:szCs w:val="20"/>
        </w:rPr>
        <w:t>Therefore, when establishing a loop closing current analysis model, it is essential to fully account for the dynamic changes in distributed generation and loads to ensure accurate calculation of loop closing currents under various operating conditions.</w:t>
      </w:r>
    </w:p>
    <w:p w14:paraId="7E5C49A1">
      <w:pPr>
        <w:pStyle w:val="55"/>
        <w:spacing w:before="240" w:after="60"/>
        <w:ind w:left="357" w:hanging="357" w:firstLineChars="0"/>
        <w:rPr>
          <w:rFonts w:ascii="Arial" w:hAnsi="Arial" w:cs="Arial"/>
          <w:b/>
          <w:spacing w:val="0"/>
          <w:sz w:val="20"/>
          <w:lang w:eastAsia="zh-CN"/>
        </w:rPr>
      </w:pPr>
      <w:r>
        <w:rPr>
          <w:rFonts w:hint="eastAsia" w:ascii="Arial" w:hAnsi="Arial" w:cs="Arial"/>
          <w:b/>
          <w:bCs/>
          <w:spacing w:val="0"/>
          <w:sz w:val="20"/>
          <w:lang w:val="en-US" w:eastAsia="zh-CN"/>
        </w:rPr>
        <w:t>3</w:t>
      </w:r>
      <w:r>
        <w:rPr>
          <w:rFonts w:hint="eastAsia" w:ascii="Arial" w:hAnsi="Arial" w:cs="Arial"/>
          <w:b/>
          <w:bCs/>
          <w:spacing w:val="0"/>
          <w:sz w:val="20"/>
          <w:lang w:eastAsia="zh-CN"/>
        </w:rPr>
        <w:t>.</w:t>
      </w:r>
      <w:r>
        <w:rPr>
          <w:rFonts w:ascii="Arial" w:hAnsi="Arial" w:cs="Arial"/>
          <w:spacing w:val="0"/>
          <w:sz w:val="20"/>
        </w:rPr>
        <w:t xml:space="preserve">  </w:t>
      </w:r>
      <w:r>
        <w:rPr>
          <w:rFonts w:ascii="Arial" w:hAnsi="Arial" w:cs="Arial"/>
          <w:b/>
          <w:spacing w:val="0"/>
          <w:sz w:val="20"/>
        </w:rPr>
        <w:t>Dynamic Monitoring and Equivalent Model Construction for Distribution Networks</w:t>
      </w:r>
    </w:p>
    <w:p w14:paraId="1A5DC4BF">
      <w:pPr>
        <w:pStyle w:val="6"/>
        <w:ind w:firstLine="0" w:firstLineChars="0"/>
        <w:rPr>
          <w:rFonts w:ascii="Arial" w:hAnsi="Arial" w:cs="Arial"/>
          <w:i/>
          <w:spacing w:val="0"/>
        </w:rPr>
      </w:pPr>
      <w:r>
        <w:rPr>
          <w:rFonts w:hint="eastAsia" w:ascii="Arial" w:hAnsi="Arial" w:cs="Arial"/>
          <w:bCs/>
          <w:i/>
          <w:spacing w:val="0"/>
          <w:lang w:val="en-US" w:eastAsia="zh-CN"/>
        </w:rPr>
        <w:t>3</w:t>
      </w:r>
      <w:r>
        <w:rPr>
          <w:rFonts w:ascii="Arial" w:hAnsi="Arial" w:cs="Arial"/>
          <w:bCs/>
          <w:i/>
          <w:spacing w:val="0"/>
        </w:rPr>
        <w:t>.</w:t>
      </w:r>
      <w:r>
        <w:rPr>
          <w:rFonts w:hint="eastAsia" w:ascii="Arial" w:hAnsi="Arial" w:cs="Arial"/>
          <w:bCs/>
          <w:i/>
          <w:spacing w:val="0"/>
          <w:lang w:val="en-US" w:eastAsia="zh-CN"/>
        </w:rPr>
        <w:t>1</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i/>
          <w:spacing w:val="0"/>
        </w:rPr>
        <w:t xml:space="preserve">Dynamic </w:t>
      </w:r>
      <w:r>
        <w:rPr>
          <w:rFonts w:hint="eastAsia" w:ascii="Arial" w:hAnsi="Arial" w:cs="Arial"/>
          <w:i/>
          <w:spacing w:val="0"/>
          <w:lang w:val="en-US" w:eastAsia="zh-CN"/>
        </w:rPr>
        <w:t>m</w:t>
      </w:r>
      <w:r>
        <w:rPr>
          <w:rFonts w:hint="eastAsia" w:ascii="Arial" w:hAnsi="Arial" w:cs="Arial"/>
          <w:i/>
          <w:spacing w:val="0"/>
        </w:rPr>
        <w:t xml:space="preserve">onitoring </w:t>
      </w:r>
      <w:r>
        <w:rPr>
          <w:rFonts w:hint="eastAsia" w:ascii="Arial" w:hAnsi="Arial" w:cs="Arial"/>
          <w:i/>
          <w:spacing w:val="0"/>
          <w:lang w:val="en-US" w:eastAsia="zh-CN"/>
        </w:rPr>
        <w:t>m</w:t>
      </w:r>
      <w:r>
        <w:rPr>
          <w:rFonts w:hint="eastAsia" w:ascii="Arial" w:hAnsi="Arial" w:cs="Arial"/>
          <w:i/>
          <w:spacing w:val="0"/>
        </w:rPr>
        <w:t xml:space="preserve">odule </w:t>
      </w:r>
      <w:r>
        <w:rPr>
          <w:rFonts w:hint="eastAsia" w:ascii="Arial" w:hAnsi="Arial" w:cs="Arial"/>
          <w:i/>
          <w:spacing w:val="0"/>
          <w:lang w:val="en-US" w:eastAsia="zh-CN"/>
        </w:rPr>
        <w:t>b</w:t>
      </w:r>
      <w:r>
        <w:rPr>
          <w:rFonts w:hint="eastAsia" w:ascii="Arial" w:hAnsi="Arial" w:cs="Arial"/>
          <w:i/>
          <w:spacing w:val="0"/>
        </w:rPr>
        <w:t xml:space="preserve">ased on </w:t>
      </w:r>
      <w:r>
        <w:rPr>
          <w:rFonts w:hint="eastAsia" w:ascii="Arial" w:hAnsi="Arial" w:cs="Arial"/>
          <w:i/>
          <w:spacing w:val="0"/>
          <w:lang w:val="en-US" w:eastAsia="zh-CN"/>
        </w:rPr>
        <w:t>d</w:t>
      </w:r>
      <w:r>
        <w:rPr>
          <w:rFonts w:hint="eastAsia" w:ascii="Arial" w:hAnsi="Arial" w:cs="Arial"/>
          <w:i/>
          <w:spacing w:val="0"/>
        </w:rPr>
        <w:t>ual-</w:t>
      </w:r>
      <w:r>
        <w:rPr>
          <w:rFonts w:hint="eastAsia" w:ascii="Arial" w:hAnsi="Arial" w:cs="Arial"/>
          <w:i/>
          <w:spacing w:val="0"/>
          <w:lang w:val="en-US" w:eastAsia="zh-CN"/>
        </w:rPr>
        <w:t>s</w:t>
      </w:r>
      <w:r>
        <w:rPr>
          <w:rFonts w:hint="eastAsia" w:ascii="Arial" w:hAnsi="Arial" w:cs="Arial"/>
          <w:i/>
          <w:spacing w:val="0"/>
        </w:rPr>
        <w:t xml:space="preserve">tack </w:t>
      </w:r>
      <w:r>
        <w:rPr>
          <w:rFonts w:hint="eastAsia" w:ascii="Arial" w:hAnsi="Arial" w:cs="Arial"/>
          <w:i/>
          <w:spacing w:val="0"/>
          <w:lang w:val="en-US" w:eastAsia="zh-CN"/>
        </w:rPr>
        <w:t>s</w:t>
      </w:r>
      <w:r>
        <w:rPr>
          <w:rFonts w:hint="eastAsia" w:ascii="Arial" w:hAnsi="Arial" w:cs="Arial"/>
          <w:i/>
          <w:spacing w:val="0"/>
        </w:rPr>
        <w:t>tructure</w:t>
      </w:r>
    </w:p>
    <w:p w14:paraId="2F0BDAC3">
      <w:pPr>
        <w:keepNext w:val="0"/>
        <w:keepLines w:val="0"/>
        <w:pageBreakBefore w:val="0"/>
        <w:widowControl w:val="0"/>
        <w:kinsoku/>
        <w:wordWrap/>
        <w:overflowPunct/>
        <w:topLinePunct w:val="0"/>
        <w:autoSpaceDE/>
        <w:autoSpaceDN/>
        <w:bidi w:val="0"/>
        <w:adjustRightInd/>
        <w:snapToGrid/>
        <w:ind w:firstLine="283" w:firstLineChars="0"/>
        <w:textAlignment w:val="auto"/>
        <w:rPr>
          <w:rFonts w:hint="eastAsia"/>
          <w:spacing w:val="0"/>
          <w:szCs w:val="20"/>
        </w:rPr>
      </w:pPr>
      <w:r>
        <w:rPr>
          <w:rFonts w:hint="eastAsia"/>
          <w:spacing w:val="0"/>
          <w:szCs w:val="20"/>
        </w:rPr>
        <w:t xml:space="preserve">To meet the dynamic computational demands during source and load fluctuations, a dynamic monitoring module based on a dual-stack structure can be employed, as </w:t>
      </w:r>
      <w:r>
        <w:rPr>
          <w:rFonts w:hint="eastAsia"/>
          <w:spacing w:val="0"/>
          <w:sz w:val="20"/>
          <w:szCs w:val="20"/>
        </w:rPr>
        <w:t xml:space="preserve">illustrated </w:t>
      </w:r>
      <w:r>
        <w:rPr>
          <w:rFonts w:hint="eastAsia"/>
          <w:spacing w:val="0"/>
          <w:szCs w:val="20"/>
        </w:rPr>
        <w:t>in Fig</w:t>
      </w:r>
      <w:r>
        <w:rPr>
          <w:rFonts w:hint="eastAsia"/>
          <w:spacing w:val="0"/>
          <w:szCs w:val="20"/>
          <w:lang w:val="en-US" w:eastAsia="zh-CN"/>
        </w:rPr>
        <w:t>ure</w:t>
      </w:r>
      <w:r>
        <w:rPr>
          <w:rFonts w:hint="eastAsia"/>
          <w:spacing w:val="0"/>
          <w:szCs w:val="20"/>
        </w:rPr>
        <w:t xml:space="preserve"> 2. The dual-stack structure consists of a recent data stack (</w:t>
      </w:r>
      <w:r>
        <w:rPr>
          <w:rFonts w:hint="eastAsia"/>
          <w:i/>
          <w:iCs/>
          <w:spacing w:val="0"/>
          <w:szCs w:val="20"/>
        </w:rPr>
        <w:t>S</w:t>
      </w:r>
      <w:r>
        <w:rPr>
          <w:rFonts w:hint="eastAsia"/>
          <w:spacing w:val="0"/>
          <w:szCs w:val="20"/>
          <w:vertAlign w:val="subscript"/>
        </w:rPr>
        <w:t>2</w:t>
      </w:r>
      <w:r>
        <w:rPr>
          <w:rFonts w:hint="eastAsia"/>
          <w:spacing w:val="0"/>
          <w:szCs w:val="20"/>
        </w:rPr>
        <w:t>) and a historical data stack (</w:t>
      </w:r>
      <w:r>
        <w:rPr>
          <w:rFonts w:hint="eastAsia"/>
          <w:i/>
          <w:iCs/>
          <w:spacing w:val="0"/>
          <w:szCs w:val="20"/>
        </w:rPr>
        <w:t>S</w:t>
      </w:r>
      <w:r>
        <w:rPr>
          <w:rFonts w:hint="eastAsia"/>
          <w:spacing w:val="0"/>
          <w:szCs w:val="20"/>
          <w:vertAlign w:val="subscript"/>
        </w:rPr>
        <w:t>1</w:t>
      </w:r>
      <w:r>
        <w:rPr>
          <w:rFonts w:hint="eastAsia"/>
          <w:spacing w:val="0"/>
          <w:szCs w:val="20"/>
        </w:rPr>
        <w:t xml:space="preserve">), which store electrical parameters from the current and historical moments of the system, respectively. Each stack contains </w:t>
      </w:r>
      <w:r>
        <w:rPr>
          <w:rFonts w:hint="eastAsia"/>
          <w:i/>
          <w:iCs/>
          <w:spacing w:val="0"/>
          <w:szCs w:val="20"/>
        </w:rPr>
        <w:t>n</w:t>
      </w:r>
      <w:r>
        <w:rPr>
          <w:rFonts w:hint="eastAsia"/>
          <w:spacing w:val="0"/>
          <w:szCs w:val="20"/>
        </w:rPr>
        <w:t xml:space="preserve"> data points used to record the corresponding voltage and current parameters along with timestamps, where </w:t>
      </w:r>
      <w:r>
        <w:rPr>
          <w:rFonts w:hint="eastAsia"/>
          <w:i/>
          <w:iCs/>
          <w:spacing w:val="0"/>
          <w:szCs w:val="20"/>
        </w:rPr>
        <w:t>n</w:t>
      </w:r>
      <w:r>
        <w:rPr>
          <w:rFonts w:hint="eastAsia"/>
          <w:spacing w:val="0"/>
          <w:szCs w:val="20"/>
        </w:rPr>
        <w:t xml:space="preserve"> is determined by the granularity required to capture the disturbance process. To prevent excessive data accumulation and avoid unnecessary consumption of computational resources, the system manages the data using a "new data in, old data out" mechanism. This ensures efficient and reasonable utilization of computational resources.</w:t>
      </w:r>
    </w:p>
    <w:p w14:paraId="5DCEBAE6">
      <w:pPr>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spacing w:val="0"/>
        </w:rPr>
      </w:pPr>
      <w:r>
        <w:rPr>
          <w:rFonts w:hint="eastAsia"/>
        </w:rPr>
        <w:object>
          <v:shape id="_x0000_i1026" o:spt="75" type="#_x0000_t75" style="height:147pt;width:224pt;" o:ole="t" filled="f" o:preferrelative="t" stroked="f" coordsize="21600,21600">
            <v:path/>
            <v:fill on="f" focussize="0,0"/>
            <v:stroke on="f"/>
            <v:imagedata r:id="rId18" o:title=""/>
            <o:lock v:ext="edit" aspectratio="f"/>
            <w10:wrap type="none"/>
            <w10:anchorlock/>
          </v:shape>
          <o:OLEObject Type="Embed" ProgID="Visio.Drawing.15" ShapeID="_x0000_i1026" DrawAspect="Content" ObjectID="_1468075726" r:id="rId17">
            <o:LockedField>false</o:LockedField>
          </o:OLEObject>
        </w:object>
      </w:r>
    </w:p>
    <w:p w14:paraId="0FBD76CE">
      <w:pPr>
        <w:pStyle w:val="50"/>
        <w:ind w:firstLine="0" w:firstLineChars="0"/>
        <w:jc w:val="left"/>
        <w:rPr>
          <w:rFonts w:hint="eastAsia" w:eastAsia="宋体"/>
          <w:i/>
          <w:spacing w:val="0"/>
          <w:sz w:val="18"/>
          <w:szCs w:val="18"/>
          <w:lang w:val="en-US" w:eastAsia="zh-CN"/>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i w:val="0"/>
          <w:iCs/>
          <w:spacing w:val="0"/>
          <w:sz w:val="18"/>
          <w:szCs w:val="18"/>
          <w:lang w:val="en-US" w:eastAsia="zh-CN"/>
        </w:rPr>
        <w:t xml:space="preserve">2  </w:t>
      </w:r>
      <w:r>
        <w:rPr>
          <w:rFonts w:hint="eastAsia"/>
          <w:bCs/>
          <w:i w:val="0"/>
          <w:iCs/>
          <w:spacing w:val="0"/>
          <w:sz w:val="18"/>
          <w:szCs w:val="18"/>
          <w:lang w:val="en-US" w:eastAsia="zh-CN"/>
        </w:rPr>
        <w:t>Mechanism diagram of dynamic monitoring with data stack capture</w:t>
      </w:r>
    </w:p>
    <w:p w14:paraId="12826BE8">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rPr>
      </w:pPr>
      <w:r>
        <w:rPr>
          <w:spacing w:val="0"/>
        </w:rPr>
        <w:t xml:space="preserve">When the system detects a significant change in the voltage or current data in </w:t>
      </w:r>
      <w:r>
        <w:rPr>
          <w:rFonts w:hint="eastAsia"/>
          <w:i/>
          <w:iCs/>
        </w:rPr>
        <w:t>S</w:t>
      </w:r>
      <w:r>
        <w:rPr>
          <w:rFonts w:hint="eastAsia"/>
          <w:vertAlign w:val="subscript"/>
        </w:rPr>
        <w:t>2</w:t>
      </w:r>
      <w:r>
        <w:rPr>
          <w:rFonts w:hint="eastAsia"/>
          <w:i/>
          <w:iCs/>
          <w:vertAlign w:val="subscript"/>
          <w:lang w:val="en-US" w:eastAsia="zh-CN"/>
        </w:rPr>
        <w:t>n</w:t>
      </w:r>
      <w:r>
        <w:rPr>
          <w:spacing w:val="0"/>
        </w:rPr>
        <w:t xml:space="preserve">, it indicates that the system has been disturbed, triggering the capture mechanism. Both stacks will then simultaneously record and update the data changes during the disturbance process until </w:t>
      </w:r>
      <w:r>
        <w:rPr>
          <w:rFonts w:hint="eastAsia"/>
          <w:i/>
          <w:iCs/>
          <w:lang w:val="en-US" w:eastAsia="zh-CN"/>
        </w:rPr>
        <w:t>S</w:t>
      </w:r>
      <w:r>
        <w:rPr>
          <w:rFonts w:hint="eastAsia"/>
          <w:vertAlign w:val="subscript"/>
          <w:lang w:val="en-US" w:eastAsia="zh-CN"/>
        </w:rPr>
        <w:t>1</w:t>
      </w:r>
      <w:r>
        <w:rPr>
          <w:rFonts w:hint="eastAsia"/>
          <w:i/>
          <w:iCs/>
          <w:vertAlign w:val="subscript"/>
          <w:lang w:val="en-US" w:eastAsia="zh-CN"/>
        </w:rPr>
        <w:t>n</w:t>
      </w:r>
      <w:r>
        <w:rPr>
          <w:spacing w:val="0"/>
        </w:rPr>
        <w:t xml:space="preserve"> detects the disturbance </w:t>
      </w:r>
      <w:r>
        <w:rPr>
          <w:rFonts w:hint="eastAsia"/>
          <w:spacing w:val="0"/>
          <w:szCs w:val="20"/>
        </w:rPr>
        <w:t>point</w:t>
      </w:r>
      <w:r>
        <w:rPr>
          <w:spacing w:val="0"/>
        </w:rPr>
        <w:t xml:space="preserve">, marking the end of the disturbance capture process. After capture is completed, the data points </w:t>
      </w:r>
      <w:r>
        <w:rPr>
          <w:rFonts w:hint="eastAsia"/>
          <w:i/>
          <w:iCs/>
          <w:lang w:val="en-US" w:eastAsia="zh-CN"/>
        </w:rPr>
        <w:t>S</w:t>
      </w:r>
      <w:r>
        <w:rPr>
          <w:rFonts w:hint="eastAsia"/>
          <w:i w:val="0"/>
          <w:iCs w:val="0"/>
          <w:vertAlign w:val="subscript"/>
          <w:lang w:val="en-US" w:eastAsia="zh-CN"/>
        </w:rPr>
        <w:t>1</w:t>
      </w:r>
      <w:r>
        <w:rPr>
          <w:rFonts w:hint="eastAsia"/>
          <w:i/>
          <w:iCs/>
          <w:vertAlign w:val="subscript"/>
          <w:lang w:val="en-US" w:eastAsia="zh-CN"/>
        </w:rPr>
        <w:t>i</w:t>
      </w:r>
      <w:r>
        <w:rPr>
          <w:spacing w:val="0"/>
        </w:rPr>
        <w:t xml:space="preserve"> and </w:t>
      </w:r>
      <w:r>
        <w:rPr>
          <w:rFonts w:hint="eastAsia"/>
          <w:i/>
          <w:iCs/>
          <w:lang w:val="en-US" w:eastAsia="zh-CN"/>
        </w:rPr>
        <w:t>S</w:t>
      </w:r>
      <w:r>
        <w:rPr>
          <w:rFonts w:hint="eastAsia"/>
          <w:vertAlign w:val="subscript"/>
          <w:lang w:val="en-US" w:eastAsia="zh-CN"/>
        </w:rPr>
        <w:t>2</w:t>
      </w:r>
      <w:r>
        <w:rPr>
          <w:rFonts w:hint="eastAsia"/>
          <w:i/>
          <w:iCs/>
          <w:vertAlign w:val="subscript"/>
          <w:lang w:val="en-US" w:eastAsia="zh-CN"/>
        </w:rPr>
        <w:t>i</w:t>
      </w:r>
      <w:r>
        <w:rPr>
          <w:spacing w:val="0"/>
        </w:rPr>
        <w:t xml:space="preserve"> from </w:t>
      </w:r>
      <w:r>
        <w:rPr>
          <w:rFonts w:hint="eastAsia"/>
          <w:i/>
          <w:iCs/>
        </w:rPr>
        <w:t>S</w:t>
      </w:r>
      <w:r>
        <w:rPr>
          <w:rFonts w:hint="eastAsia"/>
          <w:vertAlign w:val="subscript"/>
        </w:rPr>
        <w:t>1</w:t>
      </w:r>
      <w:r>
        <w:rPr>
          <w:spacing w:val="0"/>
        </w:rPr>
        <w:t xml:space="preserve"> and </w:t>
      </w:r>
      <w:r>
        <w:rPr>
          <w:rFonts w:hint="eastAsia"/>
          <w:i/>
          <w:iCs/>
        </w:rPr>
        <w:t>S</w:t>
      </w:r>
      <w:r>
        <w:rPr>
          <w:rFonts w:hint="eastAsia"/>
          <w:vertAlign w:val="subscript"/>
        </w:rPr>
        <w:t>2</w:t>
      </w:r>
      <w:r>
        <w:rPr>
          <w:spacing w:val="0"/>
        </w:rPr>
        <w:t>, respectively, represent the voltage and current parameters before and after the disturbance, providing reliable data support for subsequent equivalent model construction and loop closing current calculations.</w:t>
      </w:r>
    </w:p>
    <w:p w14:paraId="6146F21F">
      <w:pPr>
        <w:pStyle w:val="6"/>
        <w:ind w:firstLine="0" w:firstLineChars="0"/>
        <w:rPr>
          <w:rFonts w:ascii="Arial" w:hAnsi="Arial" w:cs="Arial"/>
          <w:i/>
          <w:spacing w:val="0"/>
        </w:rPr>
      </w:pPr>
      <w:r>
        <w:rPr>
          <w:rFonts w:hint="eastAsia" w:ascii="Arial" w:hAnsi="Arial" w:cs="Arial"/>
          <w:bCs/>
          <w:i/>
          <w:spacing w:val="0"/>
          <w:lang w:val="en-US" w:eastAsia="zh-CN"/>
        </w:rPr>
        <w:t>3</w:t>
      </w:r>
      <w:r>
        <w:rPr>
          <w:rFonts w:ascii="Arial" w:hAnsi="Arial" w:cs="Arial"/>
          <w:bCs/>
          <w:i/>
          <w:spacing w:val="0"/>
        </w:rPr>
        <w:t>.</w:t>
      </w:r>
      <w:r>
        <w:rPr>
          <w:rFonts w:hint="eastAsia" w:ascii="Arial" w:hAnsi="Arial" w:cs="Arial"/>
          <w:bCs/>
          <w:i/>
          <w:spacing w:val="0"/>
          <w:lang w:val="en-US" w:eastAsia="zh-CN"/>
        </w:rPr>
        <w:t>2</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i/>
          <w:spacing w:val="0"/>
          <w:lang w:val="en-US"/>
        </w:rPr>
        <w:t xml:space="preserve">Equivalent </w:t>
      </w:r>
      <w:r>
        <w:rPr>
          <w:rFonts w:hint="eastAsia" w:ascii="Arial" w:hAnsi="Arial" w:cs="Arial"/>
          <w:i/>
          <w:spacing w:val="0"/>
          <w:lang w:val="en-US" w:eastAsia="zh-CN"/>
        </w:rPr>
        <w:t>m</w:t>
      </w:r>
      <w:r>
        <w:rPr>
          <w:rFonts w:hint="eastAsia" w:ascii="Arial" w:hAnsi="Arial" w:cs="Arial"/>
          <w:i/>
          <w:spacing w:val="0"/>
          <w:lang w:val="en-US"/>
        </w:rPr>
        <w:t xml:space="preserve">odel </w:t>
      </w:r>
      <w:r>
        <w:rPr>
          <w:rFonts w:hint="eastAsia" w:ascii="Arial" w:hAnsi="Arial" w:cs="Arial"/>
          <w:i/>
          <w:spacing w:val="0"/>
          <w:lang w:val="en-US" w:eastAsia="zh-CN"/>
        </w:rPr>
        <w:t>c</w:t>
      </w:r>
      <w:r>
        <w:rPr>
          <w:rFonts w:hint="eastAsia" w:ascii="Arial" w:hAnsi="Arial" w:cs="Arial"/>
          <w:i/>
          <w:spacing w:val="0"/>
          <w:lang w:val="en-US"/>
        </w:rPr>
        <w:t xml:space="preserve">onstruction </w:t>
      </w:r>
      <w:r>
        <w:rPr>
          <w:rFonts w:hint="eastAsia" w:ascii="Arial" w:hAnsi="Arial" w:cs="Arial"/>
          <w:i/>
          <w:spacing w:val="0"/>
          <w:lang w:val="en-US" w:eastAsia="zh-CN"/>
        </w:rPr>
        <w:t>m</w:t>
      </w:r>
      <w:r>
        <w:rPr>
          <w:rFonts w:hint="eastAsia" w:ascii="Arial" w:hAnsi="Arial" w:cs="Arial"/>
          <w:i/>
          <w:spacing w:val="0"/>
          <w:lang w:val="en-US"/>
        </w:rPr>
        <w:t xml:space="preserve">ethod for </w:t>
      </w:r>
      <w:r>
        <w:rPr>
          <w:rFonts w:hint="eastAsia" w:ascii="Arial" w:hAnsi="Arial" w:cs="Arial"/>
          <w:i/>
          <w:spacing w:val="0"/>
          <w:lang w:val="en-US" w:eastAsia="zh-CN"/>
        </w:rPr>
        <w:t>d</w:t>
      </w:r>
      <w:r>
        <w:rPr>
          <w:rFonts w:hint="eastAsia" w:ascii="Arial" w:hAnsi="Arial" w:cs="Arial"/>
          <w:i/>
          <w:spacing w:val="0"/>
          <w:lang w:val="en-US"/>
        </w:rPr>
        <w:t xml:space="preserve">istribution </w:t>
      </w:r>
      <w:r>
        <w:rPr>
          <w:rFonts w:hint="eastAsia" w:ascii="Arial" w:hAnsi="Arial" w:cs="Arial"/>
          <w:i/>
          <w:spacing w:val="0"/>
          <w:lang w:val="en-US" w:eastAsia="zh-CN"/>
        </w:rPr>
        <w:t>n</w:t>
      </w:r>
      <w:r>
        <w:rPr>
          <w:rFonts w:hint="eastAsia" w:ascii="Arial" w:hAnsi="Arial" w:cs="Arial"/>
          <w:i/>
          <w:spacing w:val="0"/>
          <w:lang w:val="en-US"/>
        </w:rPr>
        <w:t xml:space="preserve">etworks </w:t>
      </w:r>
      <w:r>
        <w:rPr>
          <w:rFonts w:hint="eastAsia" w:ascii="Arial" w:hAnsi="Arial" w:cs="Arial"/>
          <w:i/>
          <w:spacing w:val="0"/>
          <w:lang w:val="en-US" w:eastAsia="zh-CN"/>
        </w:rPr>
        <w:t>b</w:t>
      </w:r>
      <w:r>
        <w:rPr>
          <w:rFonts w:hint="eastAsia" w:ascii="Arial" w:hAnsi="Arial" w:cs="Arial"/>
          <w:i/>
          <w:spacing w:val="0"/>
          <w:lang w:val="en-US"/>
        </w:rPr>
        <w:t>ased on Thevenin</w:t>
      </w:r>
      <w:r>
        <w:rPr>
          <w:rFonts w:hint="default" w:ascii="Arial" w:hAnsi="Arial" w:cs="Arial"/>
          <w:i/>
          <w:spacing w:val="0"/>
          <w:lang w:val="en-US"/>
        </w:rPr>
        <w:t>’</w:t>
      </w:r>
      <w:r>
        <w:rPr>
          <w:rFonts w:hint="eastAsia" w:ascii="Arial" w:hAnsi="Arial" w:cs="Arial"/>
          <w:i/>
          <w:spacing w:val="0"/>
          <w:lang w:val="en-US"/>
        </w:rPr>
        <w:t xml:space="preserve">s </w:t>
      </w:r>
      <w:r>
        <w:rPr>
          <w:rFonts w:hint="eastAsia" w:ascii="Arial" w:hAnsi="Arial" w:cs="Arial"/>
          <w:i/>
          <w:spacing w:val="0"/>
          <w:lang w:val="en-US" w:eastAsia="zh-CN"/>
        </w:rPr>
        <w:t>t</w:t>
      </w:r>
      <w:r>
        <w:rPr>
          <w:rFonts w:hint="eastAsia" w:ascii="Arial" w:hAnsi="Arial" w:cs="Arial"/>
          <w:i/>
          <w:spacing w:val="0"/>
          <w:lang w:val="en-US"/>
        </w:rPr>
        <w:t>heorem</w:t>
      </w:r>
    </w:p>
    <w:p w14:paraId="6948ED7E">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szCs w:val="20"/>
          <w:lang w:eastAsia="zh-CN"/>
        </w:rPr>
      </w:pPr>
      <w:r>
        <w:rPr>
          <w:spacing w:val="0"/>
          <w:sz w:val="20"/>
          <w:szCs w:val="20"/>
          <w:lang w:eastAsia="zh-CN"/>
        </w:rPr>
        <w:t xml:space="preserve">In practice, distribution networks often include multiple distributed generators and loads, making the network structure highly complex. If detailed modeling methods are used to construct node matrices, any fluctuation or structural change at a node will complicate the calculation process. To </w:t>
      </w:r>
      <w:r>
        <w:rPr>
          <w:spacing w:val="0"/>
          <w:lang w:eastAsia="zh-CN"/>
        </w:rPr>
        <w:t xml:space="preserve">address </w:t>
      </w:r>
      <w:r>
        <w:rPr>
          <w:spacing w:val="0"/>
          <w:sz w:val="20"/>
          <w:szCs w:val="20"/>
          <w:lang w:eastAsia="zh-CN"/>
        </w:rPr>
        <w:t>this, this paper adopts an equivalent model construction method based on Thevenin’s theorem, with the basic principle illustrated in Fig</w:t>
      </w:r>
      <w:r>
        <w:rPr>
          <w:rFonts w:hint="eastAsia"/>
          <w:spacing w:val="0"/>
          <w:sz w:val="20"/>
          <w:szCs w:val="20"/>
          <w:lang w:val="en-US" w:eastAsia="zh-CN"/>
        </w:rPr>
        <w:t>ure</w:t>
      </w:r>
      <w:r>
        <w:rPr>
          <w:spacing w:val="0"/>
          <w:sz w:val="20"/>
          <w:szCs w:val="20"/>
          <w:lang w:eastAsia="zh-CN"/>
        </w:rPr>
        <w:t xml:space="preserve"> 3. This equivalent modeling method divides the complex distribution system into external and internal systems. The external system, corresponding to the distribution network, is simplified into a series combination of open-circuit voltage and equivalent impedance through equivalent processing. The internal system covers the loop closing point and nearby distributed generation and loads, serving as the disturbance source to capture the dynamic changes in the external system.</w:t>
      </w:r>
    </w:p>
    <w:p w14:paraId="1F14D96C">
      <w:pPr>
        <w:pStyle w:val="50"/>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spacing w:val="0"/>
          <w:sz w:val="20"/>
          <w:szCs w:val="20"/>
          <w:lang w:eastAsia="zh-CN"/>
        </w:rPr>
      </w:pPr>
      <w:r>
        <w:rPr>
          <w:rFonts w:hint="default"/>
          <w:lang w:val="en-US" w:eastAsia="zh-CN"/>
        </w:rPr>
        <w:object>
          <v:shape id="_x0000_i1027" o:spt="75" type="#_x0000_t75" style="height:191pt;width:201.5pt;" o:ole="t" filled="f" o:preferrelative="t" stroked="f" coordsize="21600,21600">
            <v:path/>
            <v:fill on="f" focussize="0,0"/>
            <v:stroke on="f"/>
            <v:imagedata r:id="rId20" o:title=""/>
            <o:lock v:ext="edit" aspectratio="f"/>
            <w10:wrap type="none"/>
            <w10:anchorlock/>
          </v:shape>
          <o:OLEObject Type="Embed" ProgID="Visio.Drawing.15" ShapeID="_x0000_i1027" DrawAspect="Content" ObjectID="_1468075727" r:id="rId19">
            <o:LockedField>false</o:LockedField>
          </o:OLEObject>
        </w:object>
      </w:r>
    </w:p>
    <w:p w14:paraId="1CC64944">
      <w:pPr>
        <w:pStyle w:val="50"/>
        <w:ind w:firstLine="0" w:firstLineChars="0"/>
        <w:jc w:val="left"/>
        <w:rPr>
          <w:rFonts w:hint="eastAsia" w:eastAsia="宋体"/>
          <w:i/>
          <w:spacing w:val="0"/>
          <w:sz w:val="18"/>
          <w:szCs w:val="18"/>
          <w:lang w:val="en-US" w:eastAsia="zh-CN"/>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i w:val="0"/>
          <w:iCs/>
          <w:spacing w:val="0"/>
          <w:sz w:val="18"/>
          <w:szCs w:val="18"/>
          <w:lang w:val="en-US" w:eastAsia="zh-CN"/>
        </w:rPr>
        <w:t xml:space="preserve">3  </w:t>
      </w:r>
      <w:r>
        <w:rPr>
          <w:rFonts w:hint="eastAsia"/>
          <w:bCs/>
          <w:i w:val="0"/>
          <w:iCs/>
          <w:spacing w:val="0"/>
          <w:sz w:val="18"/>
          <w:szCs w:val="18"/>
          <w:lang w:val="en-US" w:eastAsia="zh-CN"/>
        </w:rPr>
        <w:t>Topology structure of distribution networks and its equivalent model construction method</w:t>
      </w:r>
    </w:p>
    <w:p w14:paraId="578AD1BB">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szCs w:val="20"/>
          <w:lang w:eastAsia="zh-CN"/>
        </w:rPr>
      </w:pPr>
      <w:r>
        <w:rPr>
          <w:spacing w:val="0"/>
          <w:sz w:val="20"/>
          <w:szCs w:val="20"/>
          <w:lang w:eastAsia="zh-CN"/>
        </w:rPr>
        <w:t xml:space="preserve">Assuming a disturbance occurs in the internal system on the left side of the loop closing point, the dynamic monitoring </w:t>
      </w:r>
      <w:r>
        <w:rPr>
          <w:spacing w:val="0"/>
          <w:lang w:eastAsia="zh-CN"/>
        </w:rPr>
        <w:t xml:space="preserve">module </w:t>
      </w:r>
      <w:r>
        <w:rPr>
          <w:spacing w:val="0"/>
          <w:sz w:val="20"/>
          <w:szCs w:val="20"/>
          <w:lang w:eastAsia="zh-CN"/>
        </w:rPr>
        <w:t xml:space="preserve">captures the voltage and current parameters at the point of common coupling (PCC) before and after the disturbance, marking historical data as </w:t>
      </w:r>
      <w:r>
        <w:rPr>
          <w:position w:val="-6"/>
          <w:highlight w:val="none"/>
        </w:rPr>
        <w:object>
          <v:shape id="_x0000_i1028" o:spt="75" type="#_x0000_t75" style="height:13.15pt;width:24pt;" o:ole="t" filled="f" o:preferrelative="t" stroked="f" coordsize="21600,21600">
            <v:path/>
            <v:fill on="f" focussize="0,0"/>
            <v:stroke on="f"/>
            <v:imagedata r:id="rId22" o:title=""/>
            <o:lock v:ext="edit" aspectratio="t"/>
            <w10:wrap type="none"/>
            <w10:anchorlock/>
          </v:shape>
          <o:OLEObject Type="Embed" ProgID="Equation.DSMT4" ShapeID="_x0000_i1028" DrawAspect="Content" ObjectID="_1468075728" r:id="rId21">
            <o:LockedField>false</o:LockedField>
          </o:OLEObject>
        </w:object>
      </w:r>
      <w:r>
        <w:rPr>
          <w:spacing w:val="0"/>
          <w:sz w:val="20"/>
          <w:szCs w:val="20"/>
          <w:lang w:eastAsia="zh-CN"/>
        </w:rPr>
        <w:t xml:space="preserve">and </w:t>
      </w:r>
      <w:r>
        <w:rPr>
          <w:position w:val="-6"/>
          <w:highlight w:val="none"/>
        </w:rPr>
        <w:object>
          <v:shape id="_x0000_i1029" o:spt="75" type="#_x0000_t75" style="height:13.3pt;width:21pt;" o:ole="t" filled="f" o:preferrelative="t" stroked="f" coordsize="21600,21600">
            <v:path/>
            <v:fill on="f" focussize="0,0"/>
            <v:stroke on="f"/>
            <v:imagedata r:id="rId24" o:title=""/>
            <o:lock v:ext="edit" aspectratio="t"/>
            <w10:wrap type="none"/>
            <w10:anchorlock/>
          </v:shape>
          <o:OLEObject Type="Embed" ProgID="Equation.DSMT4" ShapeID="_x0000_i1029" DrawAspect="Content" ObjectID="_1468075729" r:id="rId23">
            <o:LockedField>false</o:LockedField>
          </o:OLEObject>
        </w:object>
      </w:r>
      <w:r>
        <w:rPr>
          <w:spacing w:val="0"/>
          <w:sz w:val="20"/>
          <w:szCs w:val="20"/>
          <w:lang w:eastAsia="zh-CN"/>
        </w:rPr>
        <w:t xml:space="preserve">, and recent data as </w:t>
      </w:r>
      <w:r>
        <w:rPr>
          <w:position w:val="-6"/>
          <w:highlight w:val="none"/>
        </w:rPr>
        <w:object>
          <v:shape id="_x0000_i1030" o:spt="75" type="#_x0000_t75" style="height:13.15pt;width:24pt;" o:ole="t" filled="f" o:preferrelative="t" stroked="f" coordsize="21600,21600">
            <v:path/>
            <v:fill on="f" focussize="0,0"/>
            <v:stroke on="f"/>
            <v:imagedata r:id="rId26" o:title=""/>
            <o:lock v:ext="edit" aspectratio="t"/>
            <w10:wrap type="none"/>
            <w10:anchorlock/>
          </v:shape>
          <o:OLEObject Type="Embed" ProgID="Equation.DSMT4" ShapeID="_x0000_i1030" DrawAspect="Content" ObjectID="_1468075730" r:id="rId25">
            <o:LockedField>false</o:LockedField>
          </o:OLEObject>
        </w:object>
      </w:r>
      <w:r>
        <w:rPr>
          <w:spacing w:val="0"/>
          <w:sz w:val="20"/>
          <w:szCs w:val="20"/>
          <w:lang w:eastAsia="zh-CN"/>
        </w:rPr>
        <w:t xml:space="preserve"> and </w:t>
      </w:r>
      <w:r>
        <w:rPr>
          <w:position w:val="-6"/>
          <w:highlight w:val="none"/>
        </w:rPr>
        <w:object>
          <v:shape id="_x0000_i1031" o:spt="75" type="#_x0000_t75" style="height:13.15pt;width:21pt;" o:ole="t" filled="f" o:preferrelative="t" stroked="f" coordsize="21600,21600">
            <v:path/>
            <v:fill on="f" focussize="0,0"/>
            <v:stroke on="f"/>
            <v:imagedata r:id="rId28" o:title=""/>
            <o:lock v:ext="edit" aspectratio="t"/>
            <w10:wrap type="none"/>
            <w10:anchorlock/>
          </v:shape>
          <o:OLEObject Type="Embed" ProgID="Equation.DSMT4" ShapeID="_x0000_i1031" DrawAspect="Content" ObjectID="_1468075731" r:id="rId27">
            <o:LockedField>false</o:LockedField>
          </o:OLEObject>
        </w:object>
      </w:r>
      <w:r>
        <w:rPr>
          <w:spacing w:val="0"/>
          <w:sz w:val="20"/>
          <w:szCs w:val="20"/>
          <w:lang w:eastAsia="zh-CN"/>
        </w:rPr>
        <w:t>. Considering that the impedance of the external system remains unchanged during the disturbance in the internal system, its calculation formula is:</w:t>
      </w:r>
    </w:p>
    <w:p w14:paraId="65CDE777">
      <w:pPr>
        <w:pStyle w:val="76"/>
        <w:keepNext w:val="0"/>
        <w:keepLines w:val="0"/>
        <w:pageBreakBefore w:val="0"/>
        <w:widowControl w:val="0"/>
        <w:kinsoku/>
        <w:wordWrap/>
        <w:overflowPunct/>
        <w:topLinePunct/>
        <w:autoSpaceDE/>
        <w:autoSpaceDN/>
        <w:bidi w:val="0"/>
        <w:adjustRightInd/>
        <w:snapToGrid/>
        <w:spacing w:before="15" w:beforeLines="5" w:after="31" w:afterLines="10"/>
        <w:textAlignment w:val="auto"/>
      </w:pPr>
      <w:r>
        <w:tab/>
      </w:r>
      <w:r>
        <w:rPr>
          <w:position w:val="-22"/>
          <w:highlight w:val="none"/>
        </w:rPr>
        <w:object>
          <v:shape id="_x0000_i1032" o:spt="75" type="#_x0000_t75" style="height:29pt;width:121.8pt;" o:ole="t" filled="f" o:preferrelative="t" stroked="f" coordsize="21600,21600">
            <v:path/>
            <v:fill on="f" focussize="0,0"/>
            <v:stroke on="f"/>
            <v:imagedata r:id="rId30" o:title=""/>
            <o:lock v:ext="edit" aspectratio="t"/>
            <w10:wrap type="none"/>
            <w10:anchorlock/>
          </v:shape>
          <o:OLEObject Type="Embed" ProgID="Equation.DSMT4" ShapeID="_x0000_i1032" DrawAspect="Content" ObjectID="_1468075732" r:id="rId29">
            <o:LockedField>false</o:LockedField>
          </o:OLEObject>
        </w:object>
      </w:r>
      <w:r>
        <w:tab/>
      </w:r>
      <w:r>
        <w:rPr>
          <w:rFonts w:hint="eastAsia"/>
        </w:rPr>
        <w:t>（</w:t>
      </w:r>
      <w:r>
        <w:t>1</w:t>
      </w:r>
      <w:r>
        <w:rPr>
          <w:rFonts w:hint="eastAsia"/>
        </w:rPr>
        <w:t>）</w:t>
      </w:r>
    </w:p>
    <w:p w14:paraId="7B9ACD97">
      <w:pPr>
        <w:pStyle w:val="50"/>
        <w:spacing w:line="312" w:lineRule="exact"/>
        <w:ind w:left="0" w:leftChars="0" w:firstLine="0" w:firstLineChars="0"/>
        <w:jc w:val="both"/>
        <w:rPr>
          <w:spacing w:val="0"/>
          <w:sz w:val="20"/>
          <w:lang w:val="en-US"/>
        </w:rPr>
      </w:pPr>
      <w:r>
        <w:rPr>
          <w:spacing w:val="0"/>
          <w:sz w:val="20"/>
          <w:lang w:val="en-US"/>
        </w:rPr>
        <w:t xml:space="preserve">The equivalent impedance </w:t>
      </w:r>
      <w:r>
        <w:rPr>
          <w:i/>
          <w:highlight w:val="none"/>
        </w:rPr>
        <w:t>Z</w:t>
      </w:r>
      <w:r>
        <w:rPr>
          <w:rFonts w:hint="eastAsia"/>
          <w:highlight w:val="none"/>
          <w:vertAlign w:val="subscript"/>
          <w:lang w:val="en-US" w:eastAsia="zh-CN"/>
        </w:rPr>
        <w:t>eq1</w:t>
      </w:r>
      <w:r>
        <w:rPr>
          <w:spacing w:val="0"/>
          <w:sz w:val="20"/>
          <w:lang w:val="en-US"/>
        </w:rPr>
        <w:t xml:space="preserve"> represents the overall electrical characteristics of the external system and can be updated in real time after system fluctuations, accurately reflecting the dynamic behavior of the grid under different disturbance conditions.</w:t>
      </w:r>
    </w:p>
    <w:p w14:paraId="3BA8157B">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 xml:space="preserve">The open-circuit voltage can be determined using Thevenin’s equivalent </w:t>
      </w:r>
      <w:r>
        <w:rPr>
          <w:spacing w:val="0"/>
          <w:sz w:val="20"/>
          <w:szCs w:val="20"/>
          <w:lang w:val="en-US" w:eastAsia="zh-CN"/>
        </w:rPr>
        <w:t xml:space="preserve">theorem </w:t>
      </w:r>
      <w:r>
        <w:rPr>
          <w:spacing w:val="0"/>
          <w:sz w:val="20"/>
          <w:lang w:val="en-US"/>
        </w:rPr>
        <w:t>based on the current electrical parameters, combined with the equivalent impedance calculation, and its formula is:</w:t>
      </w:r>
    </w:p>
    <w:p w14:paraId="4E538FCB">
      <w:pPr>
        <w:pStyle w:val="76"/>
        <w:keepNext w:val="0"/>
        <w:keepLines w:val="0"/>
        <w:pageBreakBefore w:val="0"/>
        <w:widowControl w:val="0"/>
        <w:kinsoku/>
        <w:wordWrap/>
        <w:overflowPunct/>
        <w:topLinePunct/>
        <w:autoSpaceDE/>
        <w:autoSpaceDN/>
        <w:bidi w:val="0"/>
        <w:adjustRightInd/>
        <w:snapToGrid w:val="0"/>
        <w:spacing w:before="15" w:beforeLines="5" w:after="31" w:afterLines="10"/>
        <w:textAlignment w:val="auto"/>
        <w:rPr>
          <w:rFonts w:hint="eastAsia"/>
        </w:rPr>
      </w:pPr>
      <w:r>
        <w:tab/>
      </w:r>
      <w:r>
        <w:rPr>
          <w:rFonts w:hint="eastAsia" w:eastAsia="宋体"/>
          <w:position w:val="-10"/>
          <w:highlight w:val="none"/>
          <w:lang w:val="en-US" w:eastAsia="zh-CN"/>
        </w:rPr>
        <w:object>
          <v:shape id="_x0000_i1033" o:spt="75" type="#_x0000_t75" style="height:16pt;width:98.35pt;" o:ole="t" filled="f" o:preferrelative="t" stroked="f" coordsize="21600,21600">
            <v:path/>
            <v:fill on="f" focussize="0,0"/>
            <v:stroke on="f"/>
            <v:imagedata r:id="rId32" o:title=""/>
            <o:lock v:ext="edit" aspectratio="t"/>
            <w10:wrap type="none"/>
            <w10:anchorlock/>
          </v:shape>
          <o:OLEObject Type="Embed" ProgID="Equation.DSMT4" ShapeID="_x0000_i1033" DrawAspect="Content" ObjectID="_1468075733" r:id="rId31">
            <o:LockedField>false</o:LockedField>
          </o:OLEObject>
        </w:object>
      </w:r>
      <w:r>
        <w:tab/>
      </w:r>
      <w:r>
        <w:rPr>
          <w:rFonts w:hint="eastAsia"/>
        </w:rPr>
        <w:t>（</w:t>
      </w:r>
      <w:r>
        <w:rPr>
          <w:rFonts w:hint="eastAsia"/>
          <w:lang w:val="en-US" w:eastAsia="zh-CN"/>
        </w:rPr>
        <w:t>2</w:t>
      </w:r>
      <w:r>
        <w:rPr>
          <w:rFonts w:hint="eastAsia"/>
        </w:rPr>
        <w:t>）</w:t>
      </w:r>
    </w:p>
    <w:p w14:paraId="65A22F34">
      <w:pPr>
        <w:pStyle w:val="50"/>
        <w:spacing w:line="312" w:lineRule="exact"/>
        <w:ind w:left="0" w:leftChars="0" w:firstLine="0" w:firstLineChars="0"/>
        <w:jc w:val="both"/>
        <w:rPr>
          <w:spacing w:val="0"/>
          <w:sz w:val="20"/>
          <w:lang w:val="en-US"/>
        </w:rPr>
      </w:pPr>
      <w:r>
        <w:rPr>
          <w:spacing w:val="0"/>
          <w:sz w:val="20"/>
          <w:lang w:val="en-US"/>
        </w:rPr>
        <w:t>The open-circuit voltage reflects the system’s steady-state characteristics before and after the disturbance and the voltage distribution after the disturbance ends.</w:t>
      </w:r>
    </w:p>
    <w:p w14:paraId="681C32A5">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 xml:space="preserve">For the internal system, if the disturbance source is a load variation located near the loop closing point, the line impedance can be ignored. In this case, the load variation does not affect the voltage at the loop closing point, and the open-circuit voltage and equivalent impedance remain unchanged, i.e., </w:t>
      </w:r>
      <w:r>
        <w:rPr>
          <w:rFonts w:hint="eastAsia"/>
          <w:i/>
          <w:iCs/>
          <w:lang w:val="en-US" w:eastAsia="zh-CN"/>
        </w:rPr>
        <w:t>Z</w:t>
      </w:r>
      <w:r>
        <w:rPr>
          <w:rFonts w:hint="eastAsia"/>
          <w:vertAlign w:val="subscript"/>
          <w:lang w:val="en-US" w:eastAsia="zh-CN"/>
        </w:rPr>
        <w:t xml:space="preserve">eqa </w:t>
      </w:r>
      <w:r>
        <w:rPr>
          <w:rFonts w:hint="default" w:ascii="Symbol" w:hAnsi="Symbol" w:cs="Symbol"/>
          <w:lang w:val="en-US" w:eastAsia="zh-CN"/>
        </w:rPr>
        <w:t>=</w:t>
      </w:r>
      <w:r>
        <w:rPr>
          <w:rFonts w:hint="eastAsia"/>
          <w:vertAlign w:val="subscript"/>
          <w:lang w:val="en-US" w:eastAsia="zh-CN"/>
        </w:rPr>
        <w:t xml:space="preserve"> </w:t>
      </w:r>
      <w:r>
        <w:rPr>
          <w:rFonts w:hint="eastAsia"/>
          <w:i/>
          <w:iCs/>
          <w:lang w:val="en-US" w:eastAsia="zh-CN"/>
        </w:rPr>
        <w:t>Z</w:t>
      </w:r>
      <w:r>
        <w:rPr>
          <w:rFonts w:hint="eastAsia"/>
          <w:vertAlign w:val="subscript"/>
          <w:lang w:val="en-US" w:eastAsia="zh-CN"/>
        </w:rPr>
        <w:t>eq1</w:t>
      </w:r>
      <w:r>
        <w:rPr>
          <w:spacing w:val="0"/>
          <w:sz w:val="20"/>
          <w:lang w:val="en-US"/>
        </w:rPr>
        <w:t xml:space="preserve">, and </w:t>
      </w:r>
      <w:r>
        <w:rPr>
          <w:rFonts w:hint="eastAsia" w:eastAsia="宋体"/>
          <w:position w:val="-6"/>
          <w:highlight w:val="none"/>
          <w:lang w:val="en-US" w:eastAsia="zh-CN"/>
        </w:rPr>
        <w:object>
          <v:shape id="_x0000_i1034" o:spt="75" type="#_x0000_t75" style="height:13.95pt;width:45.2pt;" o:ole="t" filled="f" o:preferrelative="t" stroked="f" coordsize="21600,21600">
            <v:path/>
            <v:fill on="f" focussize="0,0"/>
            <v:stroke on="f"/>
            <v:imagedata r:id="rId34" o:title=""/>
            <o:lock v:ext="edit" aspectratio="t"/>
            <w10:wrap type="none"/>
            <w10:anchorlock/>
          </v:shape>
          <o:OLEObject Type="Embed" ProgID="Equation.DSMT4" ShapeID="_x0000_i1034" DrawAspect="Content" ObjectID="_1468075734" r:id="rId33">
            <o:LockedField>false</o:LockedField>
          </o:OLEObject>
        </w:object>
      </w:r>
      <w:r>
        <w:rPr>
          <w:spacing w:val="0"/>
          <w:sz w:val="20"/>
          <w:lang w:val="en-US"/>
        </w:rPr>
        <w:t>.</w:t>
      </w:r>
    </w:p>
    <w:p w14:paraId="68B815A0">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 xml:space="preserve">When the disturbance source is a fluctuation in the distributed generation, the system can be equivalent to a series combination of an equivalent voltage source </w:t>
      </w:r>
      <w:r>
        <w:rPr>
          <w:position w:val="-6"/>
          <w:highlight w:val="none"/>
        </w:rPr>
        <w:object>
          <v:shape id="_x0000_i1035" o:spt="75" type="#_x0000_t75" style="height:13.2pt;width:19pt;" o:ole="t" filled="f" o:preferrelative="t" stroked="f" coordsize="21600,21600">
            <v:path/>
            <v:fill on="f" focussize="0,0"/>
            <v:stroke on="f"/>
            <v:imagedata r:id="rId36" o:title=""/>
            <o:lock v:ext="edit" aspectratio="t"/>
            <w10:wrap type="none"/>
            <w10:anchorlock/>
          </v:shape>
          <o:OLEObject Type="Embed" ProgID="Equation.DSMT4" ShapeID="_x0000_i1035" DrawAspect="Content" ObjectID="_1468075735" r:id="rId35">
            <o:LockedField>false</o:LockedField>
          </o:OLEObject>
        </w:object>
      </w:r>
      <w:r>
        <w:rPr>
          <w:rFonts w:hint="eastAsia"/>
          <w:spacing w:val="0"/>
          <w:sz w:val="20"/>
          <w:lang w:val="en-US" w:eastAsia="zh-CN"/>
        </w:rPr>
        <w:t xml:space="preserve"> </w:t>
      </w:r>
      <w:r>
        <w:rPr>
          <w:spacing w:val="0"/>
          <w:sz w:val="20"/>
          <w:lang w:val="en-US"/>
        </w:rPr>
        <w:t xml:space="preserve">and internal impedance </w:t>
      </w:r>
      <w:r>
        <w:rPr>
          <w:rFonts w:hint="eastAsia"/>
          <w:i/>
          <w:iCs/>
        </w:rPr>
        <w:t>Z</w:t>
      </w:r>
      <w:r>
        <w:rPr>
          <w:rFonts w:hint="eastAsia"/>
          <w:vertAlign w:val="subscript"/>
          <w:lang w:val="en-US" w:eastAsia="zh-CN"/>
        </w:rPr>
        <w:t>DG</w:t>
      </w:r>
      <w:r>
        <w:rPr>
          <w:spacing w:val="0"/>
          <w:sz w:val="20"/>
          <w:lang w:val="en-US"/>
        </w:rPr>
        <w:t>. The distributed generation is then in parallel with the external system, and the formulas for the equivalent impedance and open-circuit voltage are as follows:</w:t>
      </w:r>
    </w:p>
    <w:p w14:paraId="28AB00D7">
      <w:pPr>
        <w:pStyle w:val="76"/>
        <w:keepNext w:val="0"/>
        <w:keepLines w:val="0"/>
        <w:pageBreakBefore w:val="0"/>
        <w:widowControl w:val="0"/>
        <w:kinsoku/>
        <w:wordWrap/>
        <w:overflowPunct/>
        <w:topLinePunct/>
        <w:autoSpaceDE/>
        <w:autoSpaceDN/>
        <w:bidi w:val="0"/>
        <w:adjustRightInd/>
        <w:snapToGrid/>
        <w:spacing w:before="15" w:beforeLines="5" w:after="31" w:afterLines="10"/>
        <w:textAlignment w:val="auto"/>
      </w:pPr>
      <w:r>
        <w:tab/>
      </w:r>
      <w:r>
        <w:rPr>
          <w:position w:val="-24"/>
          <w:highlight w:val="none"/>
        </w:rPr>
        <w:object>
          <v:shape id="_x0000_i1036" o:spt="75" type="#_x0000_t75" style="height:29pt;width:71.95pt;" o:ole="t" filled="f" o:preferrelative="t" stroked="f" coordsize="21600,21600">
            <v:path/>
            <v:fill on="f" focussize="0,0"/>
            <v:stroke on="f"/>
            <v:imagedata r:id="rId38" o:title=""/>
            <o:lock v:ext="edit" aspectratio="t"/>
            <w10:wrap type="none"/>
            <w10:anchorlock/>
          </v:shape>
          <o:OLEObject Type="Embed" ProgID="Equation.DSMT4" ShapeID="_x0000_i1036" DrawAspect="Content" ObjectID="_1468075736" r:id="rId37">
            <o:LockedField>false</o:LockedField>
          </o:OLEObject>
        </w:object>
      </w:r>
      <w:r>
        <w:tab/>
      </w:r>
      <w:r>
        <w:rPr>
          <w:rFonts w:hint="eastAsia"/>
        </w:rPr>
        <w:t>（</w:t>
      </w:r>
      <w:r>
        <w:rPr>
          <w:rFonts w:hint="eastAsia"/>
          <w:lang w:val="en-US" w:eastAsia="zh-CN"/>
        </w:rPr>
        <w:t>3</w:t>
      </w:r>
      <w:r>
        <w:rPr>
          <w:rFonts w:hint="eastAsia"/>
        </w:rPr>
        <w:t>）</w:t>
      </w:r>
    </w:p>
    <w:p w14:paraId="19E1950F">
      <w:pPr>
        <w:pStyle w:val="76"/>
        <w:keepNext w:val="0"/>
        <w:keepLines w:val="0"/>
        <w:pageBreakBefore w:val="0"/>
        <w:widowControl w:val="0"/>
        <w:kinsoku/>
        <w:wordWrap/>
        <w:overflowPunct/>
        <w:topLinePunct/>
        <w:autoSpaceDE/>
        <w:autoSpaceDN/>
        <w:bidi w:val="0"/>
        <w:adjustRightInd/>
        <w:snapToGrid w:val="0"/>
        <w:spacing w:before="15" w:beforeLines="5" w:after="31" w:afterLines="10"/>
        <w:textAlignment w:val="auto"/>
        <w:rPr>
          <w:rFonts w:hint="eastAsia"/>
        </w:rPr>
      </w:pPr>
      <w:r>
        <w:tab/>
      </w:r>
      <w:r>
        <w:rPr>
          <w:rFonts w:hint="eastAsia" w:eastAsia="宋体"/>
          <w:position w:val="-24"/>
          <w:highlight w:val="none"/>
          <w:lang w:val="en-US" w:eastAsia="zh-CN"/>
        </w:rPr>
        <w:object>
          <v:shape id="_x0000_i1037" o:spt="75" type="#_x0000_t75" style="height:30pt;width:119.5pt;" o:ole="t" filled="f" o:preferrelative="t" stroked="f" coordsize="21600,21600">
            <v:path/>
            <v:fill on="f" focussize="0,0"/>
            <v:stroke on="f"/>
            <v:imagedata r:id="rId40" o:title=""/>
            <o:lock v:ext="edit" aspectratio="t"/>
            <w10:wrap type="none"/>
            <w10:anchorlock/>
          </v:shape>
          <o:OLEObject Type="Embed" ProgID="Equation.DSMT4" ShapeID="_x0000_i1037" DrawAspect="Content" ObjectID="_1468075737" r:id="rId39">
            <o:LockedField>false</o:LockedField>
          </o:OLEObject>
        </w:object>
      </w:r>
      <w:r>
        <w:tab/>
      </w:r>
      <w:r>
        <w:rPr>
          <w:rFonts w:hint="eastAsia"/>
        </w:rPr>
        <w:t>（</w:t>
      </w:r>
      <w:r>
        <w:rPr>
          <w:rFonts w:hint="eastAsia"/>
          <w:lang w:val="en-US" w:eastAsia="zh-CN"/>
        </w:rPr>
        <w:t>4</w:t>
      </w:r>
      <w:r>
        <w:rPr>
          <w:rFonts w:hint="eastAsia"/>
        </w:rPr>
        <w:t>）</w:t>
      </w:r>
    </w:p>
    <w:p w14:paraId="10AF663C">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This equivalent method effectively simplifies the computational process of complex distribution networks while ensuring that the system can dynamically reflect the uncertainties of distributed generation and loads, thereby providing robust model support for the accurate calculation of loop closing current.</w:t>
      </w:r>
    </w:p>
    <w:p w14:paraId="1D02E203">
      <w:pPr>
        <w:pStyle w:val="55"/>
        <w:spacing w:before="240" w:after="60"/>
        <w:ind w:left="357" w:hanging="357" w:firstLineChars="0"/>
        <w:rPr>
          <w:rFonts w:ascii="Arial" w:hAnsi="Arial" w:cs="Arial"/>
          <w:b/>
          <w:spacing w:val="0"/>
          <w:sz w:val="20"/>
          <w:lang w:eastAsia="zh-CN"/>
        </w:rPr>
      </w:pPr>
      <w:r>
        <w:rPr>
          <w:rFonts w:hint="eastAsia" w:ascii="Arial" w:hAnsi="Arial" w:cs="Arial"/>
          <w:b/>
          <w:bCs/>
          <w:spacing w:val="0"/>
          <w:sz w:val="20"/>
          <w:lang w:val="en-US" w:eastAsia="zh-CN"/>
        </w:rPr>
        <w:t>4</w:t>
      </w:r>
      <w:r>
        <w:rPr>
          <w:rFonts w:hint="eastAsia" w:ascii="Arial" w:hAnsi="Arial" w:cs="Arial"/>
          <w:b/>
          <w:bCs/>
          <w:spacing w:val="0"/>
          <w:sz w:val="20"/>
          <w:lang w:eastAsia="zh-CN"/>
        </w:rPr>
        <w:t>.</w:t>
      </w:r>
      <w:r>
        <w:rPr>
          <w:rFonts w:ascii="Arial" w:hAnsi="Arial" w:cs="Arial"/>
          <w:spacing w:val="0"/>
          <w:sz w:val="20"/>
        </w:rPr>
        <w:t xml:space="preserve">  </w:t>
      </w:r>
      <w:r>
        <w:rPr>
          <w:rFonts w:hint="eastAsia" w:ascii="Arial" w:hAnsi="Arial" w:cs="Arial"/>
          <w:b/>
          <w:spacing w:val="0"/>
          <w:sz w:val="20"/>
        </w:rPr>
        <w:t xml:space="preserve">Loop </w:t>
      </w:r>
      <w:r>
        <w:rPr>
          <w:rFonts w:hint="eastAsia" w:ascii="Arial" w:hAnsi="Arial" w:cs="Arial"/>
          <w:b/>
          <w:spacing w:val="0"/>
          <w:sz w:val="20"/>
          <w:lang w:val="en-US" w:eastAsia="zh-CN"/>
        </w:rPr>
        <w:t>c</w:t>
      </w:r>
      <w:r>
        <w:rPr>
          <w:rFonts w:hint="eastAsia" w:ascii="Arial" w:hAnsi="Arial" w:cs="Arial"/>
          <w:b/>
          <w:spacing w:val="0"/>
          <w:sz w:val="20"/>
        </w:rPr>
        <w:t xml:space="preserve">losing </w:t>
      </w:r>
      <w:r>
        <w:rPr>
          <w:rFonts w:hint="eastAsia" w:ascii="Arial" w:hAnsi="Arial" w:cs="Arial"/>
          <w:b/>
          <w:spacing w:val="0"/>
          <w:sz w:val="20"/>
          <w:lang w:val="en-US" w:eastAsia="zh-CN"/>
        </w:rPr>
        <w:t>c</w:t>
      </w:r>
      <w:r>
        <w:rPr>
          <w:rFonts w:hint="eastAsia" w:ascii="Arial" w:hAnsi="Arial" w:cs="Arial"/>
          <w:b/>
          <w:spacing w:val="0"/>
          <w:sz w:val="20"/>
        </w:rPr>
        <w:t xml:space="preserve">urrent </w:t>
      </w:r>
      <w:r>
        <w:rPr>
          <w:rFonts w:hint="eastAsia" w:ascii="Arial" w:hAnsi="Arial" w:cs="Arial"/>
          <w:b/>
          <w:spacing w:val="0"/>
          <w:sz w:val="20"/>
          <w:lang w:val="en-US" w:eastAsia="zh-CN"/>
        </w:rPr>
        <w:t>c</w:t>
      </w:r>
      <w:r>
        <w:rPr>
          <w:rFonts w:hint="eastAsia" w:ascii="Arial" w:hAnsi="Arial" w:cs="Arial"/>
          <w:b/>
          <w:spacing w:val="0"/>
          <w:sz w:val="20"/>
        </w:rPr>
        <w:t xml:space="preserve">alculation </w:t>
      </w:r>
      <w:r>
        <w:rPr>
          <w:rFonts w:hint="eastAsia" w:ascii="Arial" w:hAnsi="Arial" w:cs="Arial"/>
          <w:b/>
          <w:spacing w:val="0"/>
          <w:sz w:val="20"/>
          <w:lang w:val="en-US" w:eastAsia="zh-CN"/>
        </w:rPr>
        <w:t>m</w:t>
      </w:r>
      <w:r>
        <w:rPr>
          <w:rFonts w:hint="eastAsia" w:ascii="Arial" w:hAnsi="Arial" w:cs="Arial"/>
          <w:b/>
          <w:spacing w:val="0"/>
          <w:sz w:val="20"/>
        </w:rPr>
        <w:t xml:space="preserve">ethod for </w:t>
      </w:r>
      <w:r>
        <w:rPr>
          <w:rFonts w:hint="eastAsia" w:ascii="Arial" w:hAnsi="Arial" w:cs="Arial"/>
          <w:b/>
          <w:spacing w:val="0"/>
          <w:sz w:val="20"/>
          <w:lang w:val="en-US" w:eastAsia="zh-CN"/>
        </w:rPr>
        <w:t>d</w:t>
      </w:r>
      <w:r>
        <w:rPr>
          <w:rFonts w:hint="eastAsia" w:ascii="Arial" w:hAnsi="Arial" w:cs="Arial"/>
          <w:b/>
          <w:spacing w:val="0"/>
          <w:sz w:val="20"/>
        </w:rPr>
        <w:t xml:space="preserve">istribution </w:t>
      </w:r>
      <w:r>
        <w:rPr>
          <w:rFonts w:hint="eastAsia" w:ascii="Arial" w:hAnsi="Arial" w:cs="Arial"/>
          <w:b/>
          <w:spacing w:val="0"/>
          <w:sz w:val="20"/>
          <w:lang w:val="en-US" w:eastAsia="zh-CN"/>
        </w:rPr>
        <w:t>n</w:t>
      </w:r>
      <w:r>
        <w:rPr>
          <w:rFonts w:hint="eastAsia" w:ascii="Arial" w:hAnsi="Arial" w:cs="Arial"/>
          <w:b/>
          <w:spacing w:val="0"/>
          <w:sz w:val="20"/>
        </w:rPr>
        <w:t>etworks</w:t>
      </w:r>
    </w:p>
    <w:p w14:paraId="1AE48FD6">
      <w:pPr>
        <w:pStyle w:val="6"/>
        <w:ind w:firstLine="0" w:firstLineChars="0"/>
        <w:rPr>
          <w:rFonts w:ascii="Arial" w:hAnsi="Arial" w:cs="Arial"/>
          <w:i/>
          <w:spacing w:val="0"/>
        </w:rPr>
      </w:pPr>
      <w:r>
        <w:rPr>
          <w:rFonts w:hint="eastAsia" w:ascii="Arial" w:hAnsi="Arial" w:cs="Arial"/>
          <w:bCs/>
          <w:i/>
          <w:spacing w:val="0"/>
          <w:lang w:val="en-US" w:eastAsia="zh-CN"/>
        </w:rPr>
        <w:t>4</w:t>
      </w:r>
      <w:r>
        <w:rPr>
          <w:rFonts w:ascii="Arial" w:hAnsi="Arial" w:cs="Arial"/>
          <w:bCs/>
          <w:i/>
          <w:spacing w:val="0"/>
        </w:rPr>
        <w:t>.</w:t>
      </w:r>
      <w:r>
        <w:rPr>
          <w:rFonts w:hint="eastAsia" w:ascii="Arial" w:hAnsi="Arial" w:cs="Arial"/>
          <w:bCs/>
          <w:i/>
          <w:spacing w:val="0"/>
          <w:lang w:val="en-US" w:eastAsia="zh-CN"/>
        </w:rPr>
        <w:t>1</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i/>
          <w:spacing w:val="0"/>
        </w:rPr>
        <w:t>Steady-</w:t>
      </w:r>
      <w:r>
        <w:rPr>
          <w:rFonts w:hint="eastAsia" w:ascii="Arial" w:hAnsi="Arial" w:cs="Arial"/>
          <w:i/>
          <w:spacing w:val="0"/>
          <w:lang w:val="en-US" w:eastAsia="zh-CN"/>
        </w:rPr>
        <w:t>s</w:t>
      </w:r>
      <w:r>
        <w:rPr>
          <w:rFonts w:hint="eastAsia" w:ascii="Arial" w:hAnsi="Arial" w:cs="Arial"/>
          <w:i/>
          <w:spacing w:val="0"/>
        </w:rPr>
        <w:t xml:space="preserve">tate </w:t>
      </w:r>
      <w:r>
        <w:rPr>
          <w:rFonts w:hint="eastAsia" w:ascii="Arial" w:hAnsi="Arial" w:cs="Arial"/>
          <w:i/>
          <w:spacing w:val="0"/>
          <w:lang w:val="en-US" w:eastAsia="zh-CN"/>
        </w:rPr>
        <w:t>c</w:t>
      </w:r>
      <w:r>
        <w:rPr>
          <w:rFonts w:hint="eastAsia" w:ascii="Arial" w:hAnsi="Arial" w:cs="Arial"/>
          <w:i/>
          <w:spacing w:val="0"/>
        </w:rPr>
        <w:t xml:space="preserve">urrent </w:t>
      </w:r>
      <w:r>
        <w:rPr>
          <w:rFonts w:hint="eastAsia" w:ascii="Arial" w:hAnsi="Arial" w:cs="Arial"/>
          <w:i/>
          <w:spacing w:val="0"/>
          <w:lang w:val="en-US" w:eastAsia="zh-CN"/>
        </w:rPr>
        <w:t>c</w:t>
      </w:r>
      <w:r>
        <w:rPr>
          <w:rFonts w:hint="eastAsia" w:ascii="Arial" w:hAnsi="Arial" w:cs="Arial"/>
          <w:i/>
          <w:spacing w:val="0"/>
        </w:rPr>
        <w:t>alculation</w:t>
      </w:r>
    </w:p>
    <w:p w14:paraId="47D73606">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The steady-state loop closing current refers to the current induced by the voltage difference between the two ends after the loop closing operation has stabilized. Its calculation requires an accurate assessment of the equivalent impedance and open-circuit voltage on both sides of the loop closing point. Under steady-state conditions, the loop closing current can be calculated using the following formula:</w:t>
      </w:r>
    </w:p>
    <w:p w14:paraId="04104175">
      <w:pPr>
        <w:pStyle w:val="76"/>
        <w:keepNext w:val="0"/>
        <w:keepLines w:val="0"/>
        <w:pageBreakBefore w:val="0"/>
        <w:widowControl w:val="0"/>
        <w:kinsoku/>
        <w:wordWrap/>
        <w:overflowPunct/>
        <w:topLinePunct/>
        <w:autoSpaceDE/>
        <w:autoSpaceDN/>
        <w:bidi w:val="0"/>
        <w:adjustRightInd/>
        <w:snapToGrid w:val="0"/>
        <w:spacing w:before="15" w:beforeLines="5" w:after="31" w:afterLines="10"/>
        <w:textAlignment w:val="auto"/>
        <w:rPr>
          <w:rFonts w:hint="eastAsia"/>
        </w:rPr>
      </w:pPr>
      <w:r>
        <w:tab/>
      </w:r>
      <w:r>
        <w:rPr>
          <w:rFonts w:hint="eastAsia" w:eastAsia="宋体"/>
          <w:position w:val="-24"/>
          <w:highlight w:val="none"/>
          <w:lang w:val="en-US" w:eastAsia="zh-CN"/>
        </w:rPr>
        <w:object>
          <v:shape id="_x0000_i1038" o:spt="75" type="#_x0000_t75" style="height:30pt;width:66.3pt;" o:ole="t" filled="f" o:preferrelative="t" stroked="f" coordsize="21600,21600">
            <v:path/>
            <v:fill on="f" focussize="0,0"/>
            <v:stroke on="f"/>
            <v:imagedata r:id="rId42" o:title=""/>
            <o:lock v:ext="edit" aspectratio="t"/>
            <w10:wrap type="none"/>
            <w10:anchorlock/>
          </v:shape>
          <o:OLEObject Type="Embed" ProgID="Equation.DSMT4" ShapeID="_x0000_i1038" DrawAspect="Content" ObjectID="_1468075738" r:id="rId41">
            <o:LockedField>false</o:LockedField>
          </o:OLEObject>
        </w:object>
      </w:r>
      <w:r>
        <w:tab/>
      </w:r>
      <w:r>
        <w:rPr>
          <w:rFonts w:hint="eastAsia"/>
        </w:rPr>
        <w:t>（</w:t>
      </w:r>
      <w:r>
        <w:rPr>
          <w:rFonts w:hint="eastAsia"/>
          <w:lang w:val="en-US" w:eastAsia="zh-CN"/>
        </w:rPr>
        <w:t>5</w:t>
      </w:r>
      <w:r>
        <w:rPr>
          <w:rFonts w:hint="eastAsia"/>
        </w:rPr>
        <w:t>）</w:t>
      </w:r>
    </w:p>
    <w:p w14:paraId="00497E69">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During the steady-state current calculation, the voltage and current monitoring mechanism from the dual-stack structure can be used to obtain real-time changes in the voltage difference and impedance at the loop closing point, ensuring high accuracy and adaptability in the current calculation. Additionally, the magnitude of the steady-state current is not only dependent on the voltage difference at the loop closing point but also on the equivalent impedance. In practice, changes in grid topology and system load will impact the electrical characteristics at the loop closing point, altering the distribution of the loop closing current. Therefore, real-time updates of the impedance and voltage difference at the loop closing point are crucial for accurate steady-state current calculation.</w:t>
      </w:r>
    </w:p>
    <w:p w14:paraId="4305A2CD">
      <w:pPr>
        <w:pStyle w:val="6"/>
        <w:ind w:firstLine="0" w:firstLineChars="0"/>
        <w:rPr>
          <w:rFonts w:ascii="Arial" w:hAnsi="Arial" w:cs="Arial"/>
          <w:i/>
          <w:spacing w:val="0"/>
        </w:rPr>
      </w:pPr>
      <w:r>
        <w:rPr>
          <w:rFonts w:hint="eastAsia" w:ascii="Arial" w:hAnsi="Arial" w:cs="Arial"/>
          <w:bCs/>
          <w:i/>
          <w:spacing w:val="0"/>
          <w:lang w:val="en-US" w:eastAsia="zh-CN"/>
        </w:rPr>
        <w:t>4</w:t>
      </w:r>
      <w:r>
        <w:rPr>
          <w:rFonts w:ascii="Arial" w:hAnsi="Arial" w:cs="Arial"/>
          <w:bCs/>
          <w:i/>
          <w:spacing w:val="0"/>
        </w:rPr>
        <w:t>.</w:t>
      </w:r>
      <w:r>
        <w:rPr>
          <w:rFonts w:hint="eastAsia" w:ascii="Arial" w:hAnsi="Arial" w:cs="Arial"/>
          <w:bCs/>
          <w:i/>
          <w:spacing w:val="0"/>
          <w:lang w:val="en-US" w:eastAsia="zh-CN"/>
        </w:rPr>
        <w:t>2</w:t>
      </w:r>
      <w:r>
        <w:rPr>
          <w:rFonts w:hint="eastAsia" w:ascii="Arial" w:hAnsi="Arial" w:cs="Arial"/>
          <w:bCs/>
          <w:i/>
          <w:spacing w:val="0"/>
          <w:lang w:eastAsia="zh-CN"/>
        </w:rPr>
        <w:t>.</w:t>
      </w:r>
      <w:r>
        <w:rPr>
          <w:rFonts w:ascii="Arial" w:hAnsi="Arial" w:cs="Arial"/>
          <w:i/>
          <w:spacing w:val="0"/>
        </w:rPr>
        <w:t xml:space="preserve">  Transient (Inrush) Current Calculation</w:t>
      </w:r>
    </w:p>
    <w:p w14:paraId="46A98A40">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Transient (inrush) current refers to the momentary surge in current caused by transient system characteristics during the loop closing operation. The sudden change in voltage difference during the loop closing operation leads to a transient response from internal power sources and loads, generating a significant inrush current, which is especially notable in complex distribution networks containing distributed generation.</w:t>
      </w:r>
    </w:p>
    <w:p w14:paraId="01D67B56">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Typically, the maximum instantaneous value of the loop closing current occurs approximately half a cycle (0.01s) after the loop closing operation. The maximum effective value of the inrush current can be calculated as:</w:t>
      </w:r>
    </w:p>
    <w:p w14:paraId="701B3814">
      <w:pPr>
        <w:pStyle w:val="76"/>
        <w:keepNext w:val="0"/>
        <w:keepLines w:val="0"/>
        <w:pageBreakBefore w:val="0"/>
        <w:widowControl w:val="0"/>
        <w:kinsoku/>
        <w:wordWrap/>
        <w:overflowPunct/>
        <w:topLinePunct/>
        <w:autoSpaceDE/>
        <w:autoSpaceDN/>
        <w:bidi w:val="0"/>
        <w:adjustRightInd/>
        <w:snapToGrid w:val="0"/>
        <w:spacing w:before="15" w:beforeLines="5" w:after="31" w:afterLines="10"/>
        <w:textAlignment w:val="auto"/>
        <w:rPr>
          <w:rFonts w:hint="eastAsia"/>
        </w:rPr>
      </w:pPr>
      <w:r>
        <w:tab/>
      </w:r>
      <w:r>
        <w:rPr>
          <w:rFonts w:hint="eastAsia" w:eastAsia="宋体"/>
          <w:position w:val="-10"/>
          <w:highlight w:val="none"/>
          <w:lang w:val="en-US" w:eastAsia="zh-CN"/>
        </w:rPr>
        <w:object>
          <v:shape id="_x0000_i1039" o:spt="75" type="#_x0000_t75" style="height:24pt;width:81.4pt;" o:ole="t" filled="f" o:preferrelative="t" stroked="f" coordsize="21600,21600">
            <v:path/>
            <v:fill on="f" focussize="0,0"/>
            <v:stroke on="f"/>
            <v:imagedata r:id="rId44" o:title=""/>
            <o:lock v:ext="edit" aspectratio="t"/>
            <w10:wrap type="none"/>
            <w10:anchorlock/>
          </v:shape>
          <o:OLEObject Type="Embed" ProgID="Equation.DSMT4" ShapeID="_x0000_i1039" DrawAspect="Content" ObjectID="_1468075739" r:id="rId43">
            <o:LockedField>false</o:LockedField>
          </o:OLEObject>
        </w:object>
      </w:r>
      <w:r>
        <w:tab/>
      </w:r>
      <w:r>
        <w:rPr>
          <w:rFonts w:hint="eastAsia"/>
        </w:rPr>
        <w:t>（</w:t>
      </w:r>
      <w:r>
        <w:rPr>
          <w:rFonts w:hint="eastAsia"/>
          <w:lang w:val="en-US" w:eastAsia="zh-CN"/>
        </w:rPr>
        <w:t>6</w:t>
      </w:r>
      <w:r>
        <w:rPr>
          <w:rFonts w:hint="eastAsia"/>
        </w:rPr>
        <w:t>）</w:t>
      </w:r>
    </w:p>
    <w:p w14:paraId="5FE2C25C">
      <w:pPr>
        <w:pStyle w:val="50"/>
        <w:spacing w:line="312" w:lineRule="exact"/>
        <w:ind w:left="0" w:leftChars="0" w:firstLine="0" w:firstLineChars="0"/>
        <w:jc w:val="both"/>
        <w:rPr>
          <w:spacing w:val="0"/>
          <w:sz w:val="20"/>
          <w:lang w:val="en-US"/>
        </w:rPr>
      </w:pPr>
      <w:r>
        <w:rPr>
          <w:spacing w:val="0"/>
          <w:sz w:val="20"/>
          <w:lang w:val="en-US"/>
        </w:rPr>
        <w:t xml:space="preserve">Where </w:t>
      </w:r>
      <w:r>
        <w:rPr>
          <w:rFonts w:hint="eastAsia"/>
          <w:i/>
          <w:iCs/>
          <w:lang w:val="en-US" w:eastAsia="zh-CN"/>
        </w:rPr>
        <w:t>I</w:t>
      </w:r>
      <w:r>
        <w:rPr>
          <w:rFonts w:hint="eastAsia"/>
          <w:vertAlign w:val="subscript"/>
          <w:lang w:val="en-US" w:eastAsia="zh-CN"/>
        </w:rPr>
        <w:t>st</w:t>
      </w:r>
      <w:r>
        <w:rPr>
          <w:spacing w:val="0"/>
          <w:sz w:val="20"/>
          <w:lang w:val="en-US"/>
        </w:rPr>
        <w:t xml:space="preserve"> is the effective value of the steady-state current, and </w:t>
      </w:r>
      <w:r>
        <w:rPr>
          <w:rFonts w:hint="eastAsia"/>
          <w:i/>
          <w:iCs/>
          <w:lang w:val="en-US" w:eastAsia="zh-CN"/>
        </w:rPr>
        <w:t>T</w:t>
      </w:r>
      <w:r>
        <w:rPr>
          <w:rFonts w:hint="eastAsia"/>
          <w:i/>
          <w:iCs/>
          <w:vertAlign w:val="subscript"/>
          <w:lang w:val="en-US" w:eastAsia="zh-CN"/>
        </w:rPr>
        <w:t>a</w:t>
      </w:r>
      <w:r>
        <w:rPr>
          <w:spacing w:val="0"/>
          <w:sz w:val="20"/>
          <w:lang w:val="en-US"/>
        </w:rPr>
        <w:t xml:space="preserve"> is the time constant of the non-periodic component of the loop closing current, which reflects the decay process from transient to steady state.</w:t>
      </w:r>
    </w:p>
    <w:p w14:paraId="2A1AD3C7">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 xml:space="preserve">To calculate the inrush current, the optimal frequency method can be employed to determine the decay time constant </w:t>
      </w:r>
      <w:r>
        <w:rPr>
          <w:rFonts w:hint="eastAsia"/>
          <w:i/>
          <w:iCs/>
          <w:lang w:val="en-US" w:eastAsia="zh-CN"/>
        </w:rPr>
        <w:t>T</w:t>
      </w:r>
      <w:r>
        <w:rPr>
          <w:rFonts w:hint="eastAsia"/>
          <w:i/>
          <w:iCs/>
          <w:vertAlign w:val="subscript"/>
          <w:lang w:val="en-US" w:eastAsia="zh-CN"/>
        </w:rPr>
        <w:t>a</w:t>
      </w:r>
      <w:r>
        <w:rPr>
          <w:spacing w:val="0"/>
          <w:sz w:val="20"/>
          <w:lang w:val="en-US"/>
        </w:rPr>
        <w:t xml:space="preserve">. This method analyzes the impedance characteristics of the system at a specific frequency </w:t>
      </w:r>
      <w:r>
        <w:rPr>
          <w:rFonts w:hint="eastAsia"/>
          <w:i/>
          <w:iCs/>
          <w:lang w:val="en-US" w:eastAsia="zh-CN"/>
        </w:rPr>
        <w:t>f</w:t>
      </w:r>
      <w:r>
        <w:rPr>
          <w:rFonts w:hint="eastAsia"/>
          <w:vertAlign w:val="subscript"/>
          <w:lang w:val="en-US" w:eastAsia="zh-CN"/>
        </w:rPr>
        <w:t>c</w:t>
      </w:r>
      <w:r>
        <w:rPr>
          <w:spacing w:val="0"/>
          <w:sz w:val="20"/>
          <w:lang w:val="en-US"/>
        </w:rPr>
        <w:t xml:space="preserve">, converting the equivalent impedance at the nominal frequency </w:t>
      </w:r>
      <w:r>
        <w:rPr>
          <w:rFonts w:hint="eastAsia"/>
          <w:i/>
          <w:iCs/>
          <w:lang w:val="en-US" w:eastAsia="zh-CN"/>
        </w:rPr>
        <w:t>f</w:t>
      </w:r>
      <w:r>
        <w:rPr>
          <w:rFonts w:hint="eastAsia"/>
          <w:vertAlign w:val="subscript"/>
          <w:lang w:val="en-US" w:eastAsia="zh-CN"/>
        </w:rPr>
        <w:t>n</w:t>
      </w:r>
      <w:r>
        <w:rPr>
          <w:spacing w:val="0"/>
          <w:sz w:val="20"/>
          <w:lang w:val="en-US"/>
        </w:rPr>
        <w:t xml:space="preserve"> to the impedance</w:t>
      </w:r>
      <w:r>
        <w:rPr>
          <w:rFonts w:hint="eastAsia"/>
          <w:spacing w:val="0"/>
          <w:sz w:val="20"/>
          <w:lang w:val="en-US" w:eastAsia="zh-CN"/>
        </w:rPr>
        <w:t xml:space="preserve"> </w:t>
      </w:r>
      <w:r>
        <w:rPr>
          <w:rFonts w:hint="eastAsia"/>
          <w:i/>
          <w:iCs/>
          <w:lang w:val="en-US" w:eastAsia="zh-CN"/>
        </w:rPr>
        <w:t>Z</w:t>
      </w:r>
      <w:r>
        <w:rPr>
          <w:rFonts w:hint="eastAsia"/>
          <w:vertAlign w:val="subscript"/>
          <w:lang w:val="en-US" w:eastAsia="zh-CN"/>
        </w:rPr>
        <w:t>eq</w:t>
      </w:r>
      <w:r>
        <w:rPr>
          <w:rFonts w:hint="eastAsia"/>
          <w:lang w:val="en-US" w:eastAsia="zh-CN"/>
        </w:rPr>
        <w:t>(</w:t>
      </w:r>
      <w:r>
        <w:rPr>
          <w:rFonts w:hint="eastAsia"/>
          <w:i/>
          <w:iCs/>
          <w:lang w:val="en-US" w:eastAsia="zh-CN"/>
        </w:rPr>
        <w:t>f</w:t>
      </w:r>
      <w:r>
        <w:rPr>
          <w:rFonts w:hint="eastAsia"/>
          <w:vertAlign w:val="subscript"/>
          <w:lang w:val="en-US" w:eastAsia="zh-CN"/>
        </w:rPr>
        <w:t>c</w:t>
      </w:r>
      <w:r>
        <w:rPr>
          <w:rFonts w:hint="eastAsia"/>
          <w:lang w:val="en-US" w:eastAsia="zh-CN"/>
        </w:rPr>
        <w:t>)</w:t>
      </w:r>
      <w:r>
        <w:rPr>
          <w:spacing w:val="0"/>
          <w:sz w:val="20"/>
          <w:lang w:val="en-US"/>
        </w:rPr>
        <w:t xml:space="preserve"> at </w:t>
      </w:r>
      <w:r>
        <w:rPr>
          <w:rFonts w:hint="eastAsia"/>
          <w:i/>
          <w:iCs/>
          <w:lang w:val="en-US" w:eastAsia="zh-CN"/>
        </w:rPr>
        <w:t>f</w:t>
      </w:r>
      <w:r>
        <w:rPr>
          <w:rFonts w:hint="eastAsia"/>
          <w:vertAlign w:val="subscript"/>
          <w:lang w:val="en-US" w:eastAsia="zh-CN"/>
        </w:rPr>
        <w:t>c</w:t>
      </w:r>
      <w:r>
        <w:rPr>
          <w:spacing w:val="0"/>
          <w:sz w:val="20"/>
          <w:lang w:val="en-US"/>
        </w:rPr>
        <w:t xml:space="preserve"> as follows:</w:t>
      </w:r>
    </w:p>
    <w:p w14:paraId="6808E132">
      <w:pPr>
        <w:pStyle w:val="76"/>
        <w:keepNext w:val="0"/>
        <w:keepLines w:val="0"/>
        <w:pageBreakBefore w:val="0"/>
        <w:widowControl w:val="0"/>
        <w:kinsoku/>
        <w:wordWrap/>
        <w:overflowPunct/>
        <w:topLinePunct/>
        <w:autoSpaceDE/>
        <w:autoSpaceDN/>
        <w:bidi w:val="0"/>
        <w:adjustRightInd/>
        <w:snapToGrid w:val="0"/>
        <w:spacing w:before="15" w:beforeLines="5" w:after="31" w:afterLines="10"/>
        <w:textAlignment w:val="auto"/>
        <w:rPr>
          <w:rFonts w:hint="eastAsia"/>
        </w:rPr>
      </w:pPr>
      <w:r>
        <w:tab/>
      </w:r>
      <w:r>
        <w:rPr>
          <w:rFonts w:hint="eastAsia" w:eastAsia="宋体"/>
          <w:position w:val="-26"/>
          <w:highlight w:val="none"/>
          <w:lang w:val="en-US" w:eastAsia="zh-CN"/>
        </w:rPr>
        <w:object>
          <v:shape id="_x0000_i1040" o:spt="75" type="#_x0000_t75" style="height:30pt;width:132.7pt;" o:ole="t" filled="f" o:preferrelative="t" stroked="f" coordsize="21600,21600">
            <v:path/>
            <v:fill on="f" focussize="0,0"/>
            <v:stroke on="f"/>
            <v:imagedata r:id="rId46" o:title=""/>
            <o:lock v:ext="edit" aspectratio="t"/>
            <w10:wrap type="none"/>
            <w10:anchorlock/>
          </v:shape>
          <o:OLEObject Type="Embed" ProgID="Equation.DSMT4" ShapeID="_x0000_i1040" DrawAspect="Content" ObjectID="_1468075740" r:id="rId45">
            <o:LockedField>false</o:LockedField>
          </o:OLEObject>
        </w:object>
      </w:r>
      <w:r>
        <w:tab/>
      </w:r>
      <w:r>
        <w:rPr>
          <w:rFonts w:hint="eastAsia"/>
        </w:rPr>
        <w:t>（</w:t>
      </w:r>
      <w:r>
        <w:rPr>
          <w:rFonts w:hint="eastAsia"/>
          <w:lang w:val="en-US" w:eastAsia="zh-CN"/>
        </w:rPr>
        <w:t>7</w:t>
      </w:r>
      <w:r>
        <w:rPr>
          <w:rFonts w:hint="eastAsia"/>
        </w:rPr>
        <w:t>）</w:t>
      </w:r>
    </w:p>
    <w:p w14:paraId="2A8F3C72">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 xml:space="preserve">For a 50Hz grid, the optimal frequency </w:t>
      </w:r>
      <w:r>
        <w:rPr>
          <w:rFonts w:hint="eastAsia"/>
          <w:i/>
          <w:iCs/>
          <w:lang w:val="en-US" w:eastAsia="zh-CN"/>
        </w:rPr>
        <w:t>f</w:t>
      </w:r>
      <w:r>
        <w:rPr>
          <w:rFonts w:hint="eastAsia"/>
          <w:vertAlign w:val="subscript"/>
          <w:lang w:val="en-US" w:eastAsia="zh-CN"/>
        </w:rPr>
        <w:t>c</w:t>
      </w:r>
      <w:r>
        <w:rPr>
          <w:spacing w:val="0"/>
          <w:sz w:val="20"/>
          <w:lang w:val="en-US"/>
        </w:rPr>
        <w:t xml:space="preserve"> is typically set to 20Hz. At this frequency, the system’s inductive and resistive characteristics can effectively describe the inrush current decay process. The decay time constant </w:t>
      </w:r>
      <w:r>
        <w:rPr>
          <w:rFonts w:hint="eastAsia"/>
          <w:i/>
          <w:iCs/>
          <w:lang w:val="en-US" w:eastAsia="zh-CN"/>
        </w:rPr>
        <w:t>T</w:t>
      </w:r>
      <w:r>
        <w:rPr>
          <w:rFonts w:hint="eastAsia"/>
          <w:i/>
          <w:iCs/>
          <w:vertAlign w:val="subscript"/>
          <w:lang w:val="en-US" w:eastAsia="zh-CN"/>
        </w:rPr>
        <w:t>a</w:t>
      </w:r>
      <w:r>
        <w:rPr>
          <w:spacing w:val="0"/>
          <w:sz w:val="20"/>
          <w:lang w:val="en-US"/>
        </w:rPr>
        <w:t xml:space="preserve"> can then be calculated as:</w:t>
      </w:r>
    </w:p>
    <w:p w14:paraId="5B949781">
      <w:pPr>
        <w:pStyle w:val="76"/>
        <w:keepNext w:val="0"/>
        <w:keepLines w:val="0"/>
        <w:pageBreakBefore w:val="0"/>
        <w:widowControl w:val="0"/>
        <w:kinsoku/>
        <w:wordWrap/>
        <w:overflowPunct/>
        <w:topLinePunct/>
        <w:autoSpaceDE/>
        <w:autoSpaceDN/>
        <w:bidi w:val="0"/>
        <w:adjustRightInd/>
        <w:snapToGrid w:val="0"/>
        <w:spacing w:before="15" w:beforeLines="5" w:after="31" w:afterLines="10"/>
        <w:textAlignment w:val="auto"/>
        <w:rPr>
          <w:rFonts w:hint="eastAsia"/>
        </w:rPr>
      </w:pPr>
      <w:r>
        <w:tab/>
      </w:r>
      <w:r>
        <w:rPr>
          <w:rFonts w:hint="eastAsia" w:eastAsia="宋体"/>
          <w:position w:val="-26"/>
          <w:highlight w:val="none"/>
          <w:lang w:val="en-US" w:eastAsia="zh-CN"/>
        </w:rPr>
        <w:object>
          <v:shape id="_x0000_i1041" o:spt="75" type="#_x0000_t75" style="height:30pt;width:72.4pt;" o:ole="t" filled="f" o:preferrelative="t" stroked="f" coordsize="21600,21600">
            <v:path/>
            <v:fill on="f" focussize="0,0"/>
            <v:stroke on="f"/>
            <v:imagedata r:id="rId48" o:title=""/>
            <o:lock v:ext="edit" aspectratio="t"/>
            <w10:wrap type="none"/>
            <w10:anchorlock/>
          </v:shape>
          <o:OLEObject Type="Embed" ProgID="Equation.DSMT4" ShapeID="_x0000_i1041" DrawAspect="Content" ObjectID="_1468075741" r:id="rId47">
            <o:LockedField>false</o:LockedField>
          </o:OLEObject>
        </w:object>
      </w:r>
      <w:r>
        <w:tab/>
      </w:r>
      <w:r>
        <w:rPr>
          <w:rFonts w:hint="eastAsia"/>
        </w:rPr>
        <w:t>（</w:t>
      </w:r>
      <w:r>
        <w:rPr>
          <w:rFonts w:hint="eastAsia"/>
          <w:lang w:val="en-US" w:eastAsia="zh-CN"/>
        </w:rPr>
        <w:t>8</w:t>
      </w:r>
      <w:r>
        <w:rPr>
          <w:rFonts w:hint="eastAsia"/>
        </w:rPr>
        <w:t>）</w:t>
      </w:r>
    </w:p>
    <w:p w14:paraId="77F6361A">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Compared to other existing methods, the optimal frequency method is applicable to grid impedance ratios ranging from 0.005 ≤ R/X ≤ 5.0, making it suitable for a wide range of scenarios. Moreover, this method significantly enhances the accuracy of inrush current calculation under complex source-load conditions, particularly in distribution networks with high dynamic variability, ensuring the precision and reliability of current calculations during loop closing operations.</w:t>
      </w:r>
    </w:p>
    <w:p w14:paraId="7CAEAA05">
      <w:pPr>
        <w:pStyle w:val="50"/>
        <w:keepNext w:val="0"/>
        <w:keepLines w:val="0"/>
        <w:pageBreakBefore w:val="0"/>
        <w:widowControl w:val="0"/>
        <w:kinsoku/>
        <w:wordWrap/>
        <w:overflowPunct/>
        <w:topLinePunct w:val="0"/>
        <w:autoSpaceDE/>
        <w:autoSpaceDN/>
        <w:bidi w:val="0"/>
        <w:adjustRightInd/>
        <w:snapToGrid w:val="0"/>
        <w:ind w:firstLine="0" w:firstLineChars="0"/>
        <w:textAlignment w:val="auto"/>
        <w:rPr>
          <w:rFonts w:hint="default"/>
          <w:lang w:val="en-US" w:eastAsia="zh-CN"/>
        </w:rPr>
      </w:pPr>
      <w:r>
        <w:rPr>
          <w:rFonts w:hint="default"/>
          <w:lang w:val="en-US" w:eastAsia="zh-CN"/>
        </w:rPr>
        <w:object>
          <v:shape id="_x0000_i1042" o:spt="75" type="#_x0000_t75" style="height:194.1pt;width:232.45pt;" o:ole="t" filled="f" o:preferrelative="t" stroked="f" coordsize="21600,21600">
            <v:path/>
            <v:fill on="f" focussize="0,0"/>
            <v:stroke on="f"/>
            <v:imagedata r:id="rId50" o:title=""/>
            <o:lock v:ext="edit" aspectratio="t"/>
            <w10:wrap type="none"/>
            <w10:anchorlock/>
          </v:shape>
          <o:OLEObject Type="Embed" ProgID="Visio.Drawing.15" ShapeID="_x0000_i1042" DrawAspect="Content" ObjectID="_1468075742" r:id="rId49">
            <o:LockedField>false</o:LockedField>
          </o:OLEObject>
        </w:object>
      </w:r>
    </w:p>
    <w:p w14:paraId="2A5AAE46">
      <w:pPr>
        <w:pStyle w:val="50"/>
        <w:ind w:firstLine="0" w:firstLineChars="0"/>
        <w:jc w:val="left"/>
        <w:rPr>
          <w:rFonts w:hint="eastAsia"/>
          <w:sz w:val="18"/>
          <w:szCs w:val="18"/>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i w:val="0"/>
          <w:iCs/>
          <w:spacing w:val="0"/>
          <w:sz w:val="18"/>
          <w:szCs w:val="18"/>
          <w:lang w:val="en-US" w:eastAsia="zh-CN"/>
        </w:rPr>
        <w:t xml:space="preserve">4 </w:t>
      </w:r>
      <w:r>
        <w:rPr>
          <w:sz w:val="18"/>
          <w:szCs w:val="18"/>
        </w:rPr>
        <w:t xml:space="preserve"> </w:t>
      </w:r>
      <w:r>
        <w:rPr>
          <w:rFonts w:hint="eastAsia"/>
          <w:sz w:val="18"/>
          <w:szCs w:val="18"/>
        </w:rPr>
        <w:t xml:space="preserve">Schematic </w:t>
      </w:r>
      <w:r>
        <w:rPr>
          <w:rFonts w:hint="eastAsia"/>
          <w:sz w:val="18"/>
          <w:szCs w:val="18"/>
          <w:lang w:val="en-US" w:eastAsia="zh-CN"/>
        </w:rPr>
        <w:t>d</w:t>
      </w:r>
      <w:r>
        <w:rPr>
          <w:rFonts w:hint="eastAsia"/>
          <w:sz w:val="18"/>
          <w:szCs w:val="18"/>
        </w:rPr>
        <w:t xml:space="preserve">iagram of the </w:t>
      </w:r>
      <w:r>
        <w:rPr>
          <w:rFonts w:hint="eastAsia"/>
          <w:sz w:val="18"/>
          <w:szCs w:val="18"/>
          <w:lang w:val="en-US" w:eastAsia="zh-CN"/>
        </w:rPr>
        <w:t>l</w:t>
      </w:r>
      <w:r>
        <w:rPr>
          <w:rFonts w:hint="eastAsia"/>
          <w:sz w:val="18"/>
          <w:szCs w:val="18"/>
        </w:rPr>
        <w:t xml:space="preserve">oop </w:t>
      </w:r>
      <w:r>
        <w:rPr>
          <w:rFonts w:hint="eastAsia"/>
          <w:sz w:val="18"/>
          <w:szCs w:val="18"/>
          <w:lang w:val="en-US" w:eastAsia="zh-CN"/>
        </w:rPr>
        <w:t>c</w:t>
      </w:r>
      <w:r>
        <w:rPr>
          <w:rFonts w:hint="eastAsia"/>
          <w:sz w:val="18"/>
          <w:szCs w:val="18"/>
        </w:rPr>
        <w:t xml:space="preserve">losing </w:t>
      </w:r>
      <w:r>
        <w:rPr>
          <w:rFonts w:hint="eastAsia"/>
          <w:sz w:val="18"/>
          <w:szCs w:val="18"/>
          <w:lang w:val="en-US" w:eastAsia="zh-CN"/>
        </w:rPr>
        <w:t>c</w:t>
      </w:r>
      <w:r>
        <w:rPr>
          <w:rFonts w:hint="eastAsia"/>
          <w:sz w:val="18"/>
          <w:szCs w:val="18"/>
        </w:rPr>
        <w:t xml:space="preserve">urrent </w:t>
      </w:r>
      <w:r>
        <w:rPr>
          <w:rFonts w:hint="eastAsia"/>
          <w:sz w:val="18"/>
          <w:szCs w:val="18"/>
          <w:lang w:val="en-US" w:eastAsia="zh-CN"/>
        </w:rPr>
        <w:t>c</w:t>
      </w:r>
      <w:r>
        <w:rPr>
          <w:rFonts w:hint="eastAsia"/>
          <w:sz w:val="18"/>
          <w:szCs w:val="18"/>
        </w:rPr>
        <w:t xml:space="preserve">alculation </w:t>
      </w:r>
      <w:r>
        <w:rPr>
          <w:rFonts w:hint="eastAsia"/>
          <w:sz w:val="18"/>
          <w:szCs w:val="18"/>
          <w:lang w:val="en-US" w:eastAsia="zh-CN"/>
        </w:rPr>
        <w:t>p</w:t>
      </w:r>
      <w:r>
        <w:rPr>
          <w:rFonts w:hint="eastAsia"/>
          <w:sz w:val="18"/>
          <w:szCs w:val="18"/>
        </w:rPr>
        <w:t xml:space="preserve">rocess in </w:t>
      </w:r>
      <w:r>
        <w:rPr>
          <w:rFonts w:hint="eastAsia"/>
          <w:sz w:val="18"/>
          <w:szCs w:val="18"/>
          <w:lang w:val="en-US" w:eastAsia="zh-CN"/>
        </w:rPr>
        <w:t>d</w:t>
      </w:r>
      <w:r>
        <w:rPr>
          <w:rFonts w:hint="eastAsia"/>
          <w:sz w:val="18"/>
          <w:szCs w:val="18"/>
        </w:rPr>
        <w:t xml:space="preserve">istribution </w:t>
      </w:r>
      <w:r>
        <w:rPr>
          <w:rFonts w:hint="eastAsia"/>
          <w:sz w:val="18"/>
          <w:szCs w:val="18"/>
          <w:lang w:val="en-US" w:eastAsia="zh-CN"/>
        </w:rPr>
        <w:t>n</w:t>
      </w:r>
      <w:r>
        <w:rPr>
          <w:rFonts w:hint="eastAsia"/>
          <w:sz w:val="18"/>
          <w:szCs w:val="18"/>
        </w:rPr>
        <w:t>etworks</w:t>
      </w:r>
    </w:p>
    <w:p w14:paraId="1C2337E8">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Based on this, the loop closing current calculation method proposed in this paper can be summarized into four steps, as shown in Fig</w:t>
      </w:r>
      <w:r>
        <w:rPr>
          <w:rFonts w:hint="eastAsia"/>
          <w:spacing w:val="0"/>
          <w:sz w:val="20"/>
          <w:lang w:val="en-US" w:eastAsia="zh-CN"/>
        </w:rPr>
        <w:t>ure</w:t>
      </w:r>
      <w:r>
        <w:rPr>
          <w:spacing w:val="0"/>
          <w:sz w:val="20"/>
          <w:lang w:val="en-US"/>
        </w:rPr>
        <w:t xml:space="preserve"> 4: </w:t>
      </w:r>
    </w:p>
    <w:p w14:paraId="545D2C0E">
      <w:pPr>
        <w:keepNext w:val="0"/>
        <w:keepLines w:val="0"/>
        <w:pageBreakBefore w:val="0"/>
        <w:widowControl w:val="0"/>
        <w:numPr>
          <w:ilvl w:val="0"/>
          <w:numId w:val="7"/>
        </w:numPr>
        <w:kinsoku/>
        <w:wordWrap/>
        <w:overflowPunct/>
        <w:topLinePunct w:val="0"/>
        <w:autoSpaceDE/>
        <w:autoSpaceDN/>
        <w:bidi w:val="0"/>
        <w:adjustRightInd/>
        <w:snapToGrid/>
        <w:ind w:left="283" w:hanging="283" w:firstLineChars="0"/>
        <w:textAlignment w:val="auto"/>
        <w:rPr>
          <w:spacing w:val="0"/>
          <w:sz w:val="20"/>
          <w:lang w:val="en-US"/>
        </w:rPr>
      </w:pPr>
      <w:r>
        <w:rPr>
          <w:spacing w:val="0"/>
          <w:sz w:val="20"/>
          <w:lang w:val="en-US"/>
        </w:rPr>
        <w:t xml:space="preserve">Based on the disturbances in the internal system, use the dynamic monitoring system with a dual-stack structure to </w:t>
      </w:r>
      <w:r>
        <w:rPr>
          <w:rFonts w:hint="eastAsia"/>
          <w:spacing w:val="0"/>
          <w:sz w:val="20"/>
          <w:szCs w:val="20"/>
          <w:lang w:val="en-US"/>
        </w:rPr>
        <w:t xml:space="preserve">obtain </w:t>
      </w:r>
      <w:r>
        <w:rPr>
          <w:spacing w:val="0"/>
          <w:sz w:val="20"/>
          <w:lang w:val="en-US"/>
        </w:rPr>
        <w:t xml:space="preserve">the voltage and current data at the PCC before and after the disturbance; </w:t>
      </w:r>
    </w:p>
    <w:p w14:paraId="12B27696">
      <w:pPr>
        <w:keepNext w:val="0"/>
        <w:keepLines w:val="0"/>
        <w:pageBreakBefore w:val="0"/>
        <w:widowControl w:val="0"/>
        <w:numPr>
          <w:ilvl w:val="0"/>
          <w:numId w:val="7"/>
        </w:numPr>
        <w:kinsoku/>
        <w:wordWrap/>
        <w:overflowPunct/>
        <w:topLinePunct w:val="0"/>
        <w:autoSpaceDE/>
        <w:autoSpaceDN/>
        <w:bidi w:val="0"/>
        <w:adjustRightInd/>
        <w:snapToGrid/>
        <w:ind w:left="283" w:hanging="283" w:firstLineChars="0"/>
        <w:textAlignment w:val="auto"/>
        <w:rPr>
          <w:spacing w:val="0"/>
          <w:sz w:val="20"/>
          <w:lang w:val="en-US"/>
        </w:rPr>
      </w:pPr>
      <w:r>
        <w:rPr>
          <w:spacing w:val="0"/>
          <w:sz w:val="20"/>
          <w:lang w:val="en-US"/>
        </w:rPr>
        <w:t xml:space="preserve">Calculate the equivalent impedance and open-circuit </w:t>
      </w:r>
      <w:r>
        <w:rPr>
          <w:rFonts w:hint="eastAsia"/>
          <w:spacing w:val="0"/>
          <w:sz w:val="20"/>
          <w:szCs w:val="20"/>
          <w:lang w:val="en-US"/>
        </w:rPr>
        <w:t xml:space="preserve">voltage </w:t>
      </w:r>
      <w:r>
        <w:rPr>
          <w:spacing w:val="0"/>
          <w:sz w:val="20"/>
          <w:lang w:val="en-US"/>
        </w:rPr>
        <w:t xml:space="preserve">of the external system using </w:t>
      </w:r>
      <w:r>
        <w:rPr>
          <w:rFonts w:hint="eastAsia"/>
          <w:spacing w:val="0"/>
          <w:sz w:val="20"/>
          <w:lang w:val="en-US" w:eastAsia="zh-CN"/>
        </w:rPr>
        <w:t>Equation</w:t>
      </w:r>
      <w:r>
        <w:rPr>
          <w:spacing w:val="0"/>
          <w:sz w:val="20"/>
          <w:lang w:val="en-US"/>
        </w:rPr>
        <w:t xml:space="preserve"> (1) and (2). When the internal system contains distributed generation (such as PV), further calculations are required using </w:t>
      </w:r>
      <w:r>
        <w:rPr>
          <w:rFonts w:hint="eastAsia"/>
          <w:spacing w:val="0"/>
          <w:sz w:val="20"/>
          <w:lang w:val="en-US" w:eastAsia="zh-CN"/>
        </w:rPr>
        <w:t>Equation</w:t>
      </w:r>
      <w:r>
        <w:rPr>
          <w:spacing w:val="0"/>
          <w:sz w:val="20"/>
          <w:lang w:val="en-US"/>
        </w:rPr>
        <w:t xml:space="preserve"> (3) and (4) to construct the equivalent model of the entire distribution system; </w:t>
      </w:r>
    </w:p>
    <w:p w14:paraId="12ECF73E">
      <w:pPr>
        <w:keepNext w:val="0"/>
        <w:keepLines w:val="0"/>
        <w:pageBreakBefore w:val="0"/>
        <w:widowControl w:val="0"/>
        <w:numPr>
          <w:ilvl w:val="0"/>
          <w:numId w:val="7"/>
        </w:numPr>
        <w:kinsoku/>
        <w:wordWrap/>
        <w:overflowPunct/>
        <w:topLinePunct w:val="0"/>
        <w:autoSpaceDE/>
        <w:autoSpaceDN/>
        <w:bidi w:val="0"/>
        <w:adjustRightInd/>
        <w:snapToGrid/>
        <w:ind w:left="283" w:hanging="283" w:firstLineChars="0"/>
        <w:textAlignment w:val="auto"/>
        <w:rPr>
          <w:spacing w:val="0"/>
          <w:sz w:val="20"/>
          <w:lang w:val="en-US"/>
        </w:rPr>
      </w:pPr>
      <w:r>
        <w:rPr>
          <w:spacing w:val="0"/>
          <w:sz w:val="20"/>
          <w:lang w:val="en-US"/>
        </w:rPr>
        <w:t xml:space="preserve">Use </w:t>
      </w:r>
      <w:r>
        <w:rPr>
          <w:rFonts w:hint="eastAsia"/>
          <w:spacing w:val="0"/>
          <w:sz w:val="20"/>
          <w:szCs w:val="20"/>
          <w:lang w:val="en-US"/>
        </w:rPr>
        <w:t xml:space="preserve">the </w:t>
      </w:r>
      <w:r>
        <w:rPr>
          <w:spacing w:val="0"/>
          <w:sz w:val="20"/>
          <w:lang w:val="en-US"/>
        </w:rPr>
        <w:t xml:space="preserve">equivalent impedance and open-circuit voltage of both systems as inputs and calculate the steady-state current using </w:t>
      </w:r>
      <w:r>
        <w:rPr>
          <w:rFonts w:hint="eastAsia"/>
          <w:spacing w:val="0"/>
          <w:sz w:val="20"/>
          <w:lang w:val="en-US" w:eastAsia="zh-CN"/>
        </w:rPr>
        <w:t>Equation</w:t>
      </w:r>
      <w:r>
        <w:rPr>
          <w:spacing w:val="0"/>
          <w:sz w:val="20"/>
          <w:lang w:val="en-US"/>
        </w:rPr>
        <w:t xml:space="preserve"> (5); </w:t>
      </w:r>
    </w:p>
    <w:p w14:paraId="196A9E9C">
      <w:pPr>
        <w:keepNext w:val="0"/>
        <w:keepLines w:val="0"/>
        <w:pageBreakBefore w:val="0"/>
        <w:widowControl w:val="0"/>
        <w:numPr>
          <w:ilvl w:val="0"/>
          <w:numId w:val="7"/>
        </w:numPr>
        <w:kinsoku/>
        <w:wordWrap/>
        <w:overflowPunct/>
        <w:topLinePunct w:val="0"/>
        <w:autoSpaceDE/>
        <w:autoSpaceDN/>
        <w:bidi w:val="0"/>
        <w:adjustRightInd/>
        <w:snapToGrid/>
        <w:ind w:left="283" w:hanging="283" w:firstLineChars="0"/>
        <w:textAlignment w:val="auto"/>
        <w:rPr>
          <w:spacing w:val="0"/>
          <w:sz w:val="20"/>
          <w:lang w:val="en-US"/>
        </w:rPr>
      </w:pPr>
      <w:r>
        <w:rPr>
          <w:spacing w:val="0"/>
          <w:sz w:val="20"/>
          <w:lang w:val="en-US"/>
        </w:rPr>
        <w:t xml:space="preserve">Apply the optimal frequency method to determine the equivalent </w:t>
      </w:r>
      <w:r>
        <w:rPr>
          <w:rFonts w:hint="eastAsia"/>
          <w:spacing w:val="0"/>
          <w:sz w:val="20"/>
          <w:szCs w:val="20"/>
          <w:lang w:val="en-US"/>
        </w:rPr>
        <w:t xml:space="preserve">impedance </w:t>
      </w:r>
      <w:r>
        <w:rPr>
          <w:spacing w:val="0"/>
          <w:sz w:val="20"/>
          <w:lang w:val="en-US"/>
        </w:rPr>
        <w:t xml:space="preserve">at the specific frequency </w:t>
      </w:r>
      <w:r>
        <w:rPr>
          <w:rFonts w:hint="eastAsia"/>
          <w:i/>
          <w:iCs/>
          <w:highlight w:val="none"/>
          <w:lang w:val="en-US" w:eastAsia="zh-CN"/>
        </w:rPr>
        <w:t>f</w:t>
      </w:r>
      <w:r>
        <w:rPr>
          <w:rFonts w:hint="eastAsia"/>
          <w:highlight w:val="none"/>
          <w:vertAlign w:val="subscript"/>
          <w:lang w:val="en-US" w:eastAsia="zh-CN"/>
        </w:rPr>
        <w:t>c</w:t>
      </w:r>
      <w:r>
        <w:rPr>
          <w:spacing w:val="0"/>
          <w:sz w:val="20"/>
          <w:lang w:val="en-US"/>
        </w:rPr>
        <w:t xml:space="preserve"> using </w:t>
      </w:r>
      <w:r>
        <w:rPr>
          <w:rFonts w:hint="eastAsia"/>
          <w:spacing w:val="0"/>
          <w:sz w:val="20"/>
          <w:lang w:val="en-US" w:eastAsia="zh-CN"/>
        </w:rPr>
        <w:t>Equation</w:t>
      </w:r>
      <w:r>
        <w:rPr>
          <w:spacing w:val="0"/>
          <w:sz w:val="20"/>
          <w:lang w:val="en-US"/>
        </w:rPr>
        <w:t xml:space="preserve"> (7) and calculate the inrush current decay time constant </w:t>
      </w:r>
      <w:r>
        <w:rPr>
          <w:rFonts w:hint="eastAsia"/>
          <w:i/>
          <w:iCs/>
          <w:highlight w:val="none"/>
          <w:lang w:val="en-US" w:eastAsia="zh-CN"/>
        </w:rPr>
        <w:t>T</w:t>
      </w:r>
      <w:r>
        <w:rPr>
          <w:rFonts w:hint="eastAsia"/>
          <w:i/>
          <w:iCs/>
          <w:highlight w:val="none"/>
          <w:vertAlign w:val="subscript"/>
          <w:lang w:val="en-US" w:eastAsia="zh-CN"/>
        </w:rPr>
        <w:t>a</w:t>
      </w:r>
      <w:r>
        <w:rPr>
          <w:spacing w:val="0"/>
          <w:sz w:val="20"/>
          <w:lang w:val="en-US"/>
        </w:rPr>
        <w:t xml:space="preserve"> using </w:t>
      </w:r>
      <w:r>
        <w:rPr>
          <w:rFonts w:hint="eastAsia"/>
          <w:spacing w:val="0"/>
          <w:sz w:val="20"/>
          <w:lang w:val="en-US" w:eastAsia="zh-CN"/>
        </w:rPr>
        <w:t>Equation</w:t>
      </w:r>
      <w:r>
        <w:rPr>
          <w:spacing w:val="0"/>
          <w:sz w:val="20"/>
          <w:lang w:val="en-US"/>
        </w:rPr>
        <w:t xml:space="preserve"> (8), then obtain the inrush current using </w:t>
      </w:r>
      <w:r>
        <w:rPr>
          <w:rFonts w:hint="eastAsia"/>
          <w:spacing w:val="0"/>
          <w:sz w:val="20"/>
          <w:lang w:val="en-US" w:eastAsia="zh-CN"/>
        </w:rPr>
        <w:t>Equation</w:t>
      </w:r>
      <w:r>
        <w:rPr>
          <w:spacing w:val="0"/>
          <w:sz w:val="20"/>
          <w:lang w:val="en-US"/>
        </w:rPr>
        <w:t xml:space="preserve"> (6). The entire process integrates dynamic monitoring and equivalent modeling to accurately calculate both steady-state and inrush currents in the distribution network, providing reliable technical support for loop closing operations in real-world power grids.</w:t>
      </w:r>
    </w:p>
    <w:p w14:paraId="15CF7B2B">
      <w:pPr>
        <w:pStyle w:val="55"/>
        <w:spacing w:before="240" w:after="60"/>
        <w:ind w:left="357" w:hanging="357" w:firstLineChars="0"/>
        <w:rPr>
          <w:rFonts w:ascii="Arial" w:hAnsi="Arial" w:cs="Arial"/>
          <w:b/>
          <w:spacing w:val="0"/>
          <w:sz w:val="20"/>
          <w:lang w:eastAsia="zh-CN"/>
        </w:rPr>
      </w:pPr>
      <w:r>
        <w:rPr>
          <w:rFonts w:hint="eastAsia" w:ascii="Arial" w:hAnsi="Arial" w:cs="Arial"/>
          <w:b/>
          <w:bCs/>
          <w:spacing w:val="0"/>
          <w:sz w:val="20"/>
          <w:lang w:val="en-US" w:eastAsia="zh-CN"/>
        </w:rPr>
        <w:t>5</w:t>
      </w:r>
      <w:r>
        <w:rPr>
          <w:rFonts w:hint="eastAsia" w:ascii="Arial" w:hAnsi="Arial" w:cs="Arial"/>
          <w:b/>
          <w:bCs/>
          <w:spacing w:val="0"/>
          <w:sz w:val="20"/>
          <w:lang w:eastAsia="zh-CN"/>
        </w:rPr>
        <w:t>.</w:t>
      </w:r>
      <w:r>
        <w:rPr>
          <w:rFonts w:ascii="Arial" w:hAnsi="Arial" w:cs="Arial"/>
          <w:spacing w:val="0"/>
          <w:sz w:val="20"/>
        </w:rPr>
        <w:t xml:space="preserve"> </w:t>
      </w:r>
      <w:r>
        <w:rPr>
          <w:rFonts w:hint="eastAsia" w:ascii="Arial" w:hAnsi="Arial" w:cs="Arial"/>
          <w:spacing w:val="0"/>
          <w:sz w:val="20"/>
          <w:lang w:val="en-US" w:eastAsia="zh-CN"/>
        </w:rPr>
        <w:t xml:space="preserve"> </w:t>
      </w:r>
      <w:r>
        <w:rPr>
          <w:rFonts w:hint="eastAsia" w:ascii="Arial" w:hAnsi="Arial" w:cs="Arial"/>
          <w:b/>
          <w:spacing w:val="0"/>
          <w:sz w:val="20"/>
        </w:rPr>
        <w:t xml:space="preserve">Simulation </w:t>
      </w:r>
      <w:r>
        <w:rPr>
          <w:rFonts w:hint="eastAsia" w:ascii="Arial" w:hAnsi="Arial" w:cs="Arial"/>
          <w:b/>
          <w:spacing w:val="0"/>
          <w:sz w:val="20"/>
          <w:lang w:val="en-US" w:eastAsia="zh-CN"/>
        </w:rPr>
        <w:t>e</w:t>
      </w:r>
      <w:r>
        <w:rPr>
          <w:rFonts w:hint="eastAsia" w:ascii="Arial" w:hAnsi="Arial" w:cs="Arial"/>
          <w:b/>
          <w:spacing w:val="0"/>
          <w:sz w:val="20"/>
        </w:rPr>
        <w:t xml:space="preserve">xample </w:t>
      </w:r>
      <w:r>
        <w:rPr>
          <w:rFonts w:hint="eastAsia" w:ascii="Arial" w:hAnsi="Arial" w:cs="Arial"/>
          <w:b/>
          <w:spacing w:val="0"/>
          <w:sz w:val="20"/>
          <w:lang w:val="en-US" w:eastAsia="zh-CN"/>
        </w:rPr>
        <w:t>a</w:t>
      </w:r>
      <w:r>
        <w:rPr>
          <w:rFonts w:hint="eastAsia" w:ascii="Arial" w:hAnsi="Arial" w:cs="Arial"/>
          <w:b/>
          <w:spacing w:val="0"/>
          <w:sz w:val="20"/>
        </w:rPr>
        <w:t>nalysis</w:t>
      </w:r>
    </w:p>
    <w:p w14:paraId="1132E118">
      <w:pPr>
        <w:pStyle w:val="6"/>
        <w:ind w:firstLine="0" w:firstLineChars="0"/>
        <w:rPr>
          <w:rFonts w:ascii="Arial" w:hAnsi="Arial" w:cs="Arial"/>
          <w:i/>
          <w:spacing w:val="0"/>
        </w:rPr>
      </w:pPr>
      <w:r>
        <w:rPr>
          <w:rFonts w:hint="eastAsia" w:ascii="Arial" w:hAnsi="Arial" w:cs="Arial"/>
          <w:bCs/>
          <w:i/>
          <w:spacing w:val="0"/>
          <w:lang w:val="en-US" w:eastAsia="zh-CN"/>
        </w:rPr>
        <w:t>5</w:t>
      </w:r>
      <w:r>
        <w:rPr>
          <w:rFonts w:ascii="Arial" w:hAnsi="Arial" w:cs="Arial"/>
          <w:bCs/>
          <w:i/>
          <w:spacing w:val="0"/>
        </w:rPr>
        <w:t>.</w:t>
      </w:r>
      <w:r>
        <w:rPr>
          <w:rFonts w:hint="eastAsia" w:ascii="Arial" w:hAnsi="Arial" w:cs="Arial"/>
          <w:bCs/>
          <w:i/>
          <w:spacing w:val="0"/>
          <w:lang w:val="en-US" w:eastAsia="zh-CN"/>
        </w:rPr>
        <w:t>1</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i/>
          <w:spacing w:val="0"/>
        </w:rPr>
        <w:t xml:space="preserve">Simulation </w:t>
      </w:r>
      <w:r>
        <w:rPr>
          <w:rFonts w:hint="eastAsia" w:ascii="Arial" w:hAnsi="Arial" w:cs="Arial"/>
          <w:i/>
          <w:spacing w:val="0"/>
          <w:lang w:val="en-US" w:eastAsia="zh-CN"/>
        </w:rPr>
        <w:t>s</w:t>
      </w:r>
      <w:r>
        <w:rPr>
          <w:rFonts w:hint="eastAsia" w:ascii="Arial" w:hAnsi="Arial" w:cs="Arial"/>
          <w:i/>
          <w:spacing w:val="0"/>
        </w:rPr>
        <w:t xml:space="preserve">cenario </w:t>
      </w:r>
      <w:r>
        <w:rPr>
          <w:rFonts w:hint="eastAsia" w:ascii="Arial" w:hAnsi="Arial" w:cs="Arial"/>
          <w:i/>
          <w:spacing w:val="0"/>
          <w:lang w:val="en-US" w:eastAsia="zh-CN"/>
        </w:rPr>
        <w:t>s</w:t>
      </w:r>
      <w:r>
        <w:rPr>
          <w:rFonts w:hint="eastAsia" w:ascii="Arial" w:hAnsi="Arial" w:cs="Arial"/>
          <w:i/>
          <w:spacing w:val="0"/>
        </w:rPr>
        <w:t xml:space="preserve">etup and </w:t>
      </w:r>
      <w:r>
        <w:rPr>
          <w:rFonts w:hint="eastAsia" w:ascii="Arial" w:hAnsi="Arial" w:cs="Arial"/>
          <w:i/>
          <w:spacing w:val="0"/>
          <w:lang w:val="en-US" w:eastAsia="zh-CN"/>
        </w:rPr>
        <w:t>p</w:t>
      </w:r>
      <w:r>
        <w:rPr>
          <w:rFonts w:hint="eastAsia" w:ascii="Arial" w:hAnsi="Arial" w:cs="Arial"/>
          <w:i/>
          <w:spacing w:val="0"/>
        </w:rPr>
        <w:t xml:space="preserve">arameter </w:t>
      </w:r>
      <w:r>
        <w:rPr>
          <w:rFonts w:hint="eastAsia" w:ascii="Arial" w:hAnsi="Arial" w:cs="Arial"/>
          <w:i/>
          <w:spacing w:val="0"/>
          <w:lang w:val="en-US" w:eastAsia="zh-CN"/>
        </w:rPr>
        <w:t>c</w:t>
      </w:r>
      <w:r>
        <w:rPr>
          <w:rFonts w:hint="eastAsia" w:ascii="Arial" w:hAnsi="Arial" w:cs="Arial"/>
          <w:i/>
          <w:spacing w:val="0"/>
        </w:rPr>
        <w:t>onfiguration</w:t>
      </w:r>
    </w:p>
    <w:p w14:paraId="24F4C803">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Taking a specific loop closing network as an example, the network topology and the distribution of distributed generation (DG) and loads are shown in Fig</w:t>
      </w:r>
      <w:r>
        <w:rPr>
          <w:rFonts w:hint="eastAsia"/>
          <w:spacing w:val="0"/>
          <w:sz w:val="20"/>
          <w:lang w:val="en-US" w:eastAsia="zh-CN"/>
        </w:rPr>
        <w:t>ure</w:t>
      </w:r>
      <w:r>
        <w:rPr>
          <w:spacing w:val="0"/>
          <w:sz w:val="20"/>
          <w:lang w:val="en-US"/>
        </w:rPr>
        <w:t xml:space="preserve"> 5. This loop closing network consists of multiple feeders, each with an impedance of (0.11+j0.15) Ω/km, and the lengths of the feeders are marked in the figure. The load power at each node is measured in MVA, and the maximum output power of the distributed photovoltaic (PV) systems PV1 and PV2 is 1.45 MW. Before loop closing, the line voltage of bus 1 is 34.30∠-3.4°kV, and the line voltage of bus 2 is 35.70∠2.2°kV. The distribution of sources and loads in the figure fully considers the diversity and dynamics of real-world power grids, effectively simulating the impact of source-load fluctuations on the loop closing current.</w:t>
      </w:r>
    </w:p>
    <w:p w14:paraId="2708753F">
      <w:pPr>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eastAsia"/>
          <w:spacing w:val="8"/>
        </w:rPr>
      </w:pPr>
      <w:r>
        <w:rPr>
          <w:rFonts w:hint="eastAsia"/>
          <w:spacing w:val="8"/>
        </w:rPr>
        <w:object>
          <v:shape id="_x0000_i1043" o:spt="75" type="#_x0000_t75" style="height:190pt;width:229pt;" o:ole="t" filled="f" o:preferrelative="t" stroked="f" coordsize="21600,21600">
            <v:path/>
            <v:fill on="f" focussize="0,0"/>
            <v:stroke on="f"/>
            <v:imagedata r:id="rId52" o:title=""/>
            <o:lock v:ext="edit" aspectratio="f"/>
            <w10:wrap type="none"/>
            <w10:anchorlock/>
          </v:shape>
          <o:OLEObject Type="Embed" ProgID="Visio.Drawing.15" ShapeID="_x0000_i1043" DrawAspect="Content" ObjectID="_1468075743" r:id="rId51">
            <o:LockedField>false</o:LockedField>
          </o:OLEObject>
        </w:object>
      </w:r>
    </w:p>
    <w:p w14:paraId="6E13BF83">
      <w:pPr>
        <w:pStyle w:val="50"/>
        <w:ind w:firstLine="0" w:firstLineChars="0"/>
        <w:jc w:val="left"/>
        <w:rPr>
          <w:rFonts w:hint="eastAsia"/>
          <w:sz w:val="18"/>
          <w:szCs w:val="18"/>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i w:val="0"/>
          <w:iCs/>
          <w:spacing w:val="0"/>
          <w:sz w:val="18"/>
          <w:szCs w:val="18"/>
          <w:lang w:val="en-US" w:eastAsia="zh-CN"/>
        </w:rPr>
        <w:t xml:space="preserve">5 </w:t>
      </w:r>
      <w:r>
        <w:rPr>
          <w:sz w:val="18"/>
          <w:szCs w:val="18"/>
        </w:rPr>
        <w:t xml:space="preserve"> </w:t>
      </w:r>
      <w:r>
        <w:rPr>
          <w:rFonts w:hint="eastAsia"/>
          <w:sz w:val="18"/>
          <w:szCs w:val="18"/>
        </w:rPr>
        <w:t>Schematic diagram of the distribution network loop closing example</w:t>
      </w:r>
    </w:p>
    <w:p w14:paraId="05DFB92A">
      <w:pPr>
        <w:pStyle w:val="6"/>
        <w:ind w:firstLine="0" w:firstLineChars="0"/>
        <w:rPr>
          <w:rFonts w:ascii="Arial" w:hAnsi="Arial" w:cs="Arial"/>
          <w:i/>
          <w:spacing w:val="0"/>
        </w:rPr>
      </w:pPr>
      <w:r>
        <w:rPr>
          <w:rFonts w:hint="eastAsia" w:ascii="Arial" w:hAnsi="Arial" w:cs="Arial"/>
          <w:bCs/>
          <w:i/>
          <w:spacing w:val="0"/>
          <w:lang w:val="en-US" w:eastAsia="zh-CN"/>
        </w:rPr>
        <w:t>5</w:t>
      </w:r>
      <w:r>
        <w:rPr>
          <w:rFonts w:ascii="Arial" w:hAnsi="Arial" w:cs="Arial"/>
          <w:bCs/>
          <w:i/>
          <w:spacing w:val="0"/>
        </w:rPr>
        <w:t>.</w:t>
      </w:r>
      <w:r>
        <w:rPr>
          <w:rFonts w:hint="eastAsia" w:ascii="Arial" w:hAnsi="Arial" w:cs="Arial"/>
          <w:bCs/>
          <w:i/>
          <w:spacing w:val="0"/>
          <w:lang w:val="en-US" w:eastAsia="zh-CN"/>
        </w:rPr>
        <w:t>2</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i/>
          <w:spacing w:val="0"/>
        </w:rPr>
        <w:t xml:space="preserve">Analysis of </w:t>
      </w:r>
      <w:r>
        <w:rPr>
          <w:rFonts w:hint="eastAsia" w:ascii="Arial" w:hAnsi="Arial" w:cs="Arial"/>
          <w:i/>
          <w:spacing w:val="0"/>
          <w:lang w:val="en-US" w:eastAsia="zh-CN"/>
        </w:rPr>
        <w:t>l</w:t>
      </w:r>
      <w:r>
        <w:rPr>
          <w:rFonts w:hint="eastAsia" w:ascii="Arial" w:hAnsi="Arial" w:cs="Arial"/>
          <w:i/>
          <w:spacing w:val="0"/>
        </w:rPr>
        <w:t xml:space="preserve">oop </w:t>
      </w:r>
      <w:r>
        <w:rPr>
          <w:rFonts w:hint="eastAsia" w:ascii="Arial" w:hAnsi="Arial" w:cs="Arial"/>
          <w:i/>
          <w:spacing w:val="0"/>
          <w:lang w:val="en-US" w:eastAsia="zh-CN"/>
        </w:rPr>
        <w:t>c</w:t>
      </w:r>
      <w:r>
        <w:rPr>
          <w:rFonts w:hint="eastAsia" w:ascii="Arial" w:hAnsi="Arial" w:cs="Arial"/>
          <w:i/>
          <w:spacing w:val="0"/>
        </w:rPr>
        <w:t xml:space="preserve">losing </w:t>
      </w:r>
      <w:r>
        <w:rPr>
          <w:rFonts w:hint="eastAsia" w:ascii="Arial" w:hAnsi="Arial" w:cs="Arial"/>
          <w:i/>
          <w:spacing w:val="0"/>
          <w:lang w:val="en-US" w:eastAsia="zh-CN"/>
        </w:rPr>
        <w:t>c</w:t>
      </w:r>
      <w:r>
        <w:rPr>
          <w:rFonts w:hint="eastAsia" w:ascii="Arial" w:hAnsi="Arial" w:cs="Arial"/>
          <w:i/>
          <w:spacing w:val="0"/>
        </w:rPr>
        <w:t xml:space="preserve">urrent </w:t>
      </w:r>
      <w:r>
        <w:rPr>
          <w:rFonts w:hint="eastAsia" w:ascii="Arial" w:hAnsi="Arial" w:cs="Arial"/>
          <w:i/>
          <w:spacing w:val="0"/>
          <w:lang w:val="en-US" w:eastAsia="zh-CN"/>
        </w:rPr>
        <w:t>c</w:t>
      </w:r>
      <w:r>
        <w:rPr>
          <w:rFonts w:hint="eastAsia" w:ascii="Arial" w:hAnsi="Arial" w:cs="Arial"/>
          <w:i/>
          <w:spacing w:val="0"/>
        </w:rPr>
        <w:t xml:space="preserve">haracteristics under </w:t>
      </w:r>
      <w:r>
        <w:rPr>
          <w:rFonts w:hint="eastAsia" w:ascii="Arial" w:hAnsi="Arial" w:cs="Arial"/>
          <w:i/>
          <w:spacing w:val="0"/>
          <w:lang w:val="en-US" w:eastAsia="zh-CN"/>
        </w:rPr>
        <w:t>d</w:t>
      </w:r>
      <w:r>
        <w:rPr>
          <w:rFonts w:hint="eastAsia" w:ascii="Arial" w:hAnsi="Arial" w:cs="Arial"/>
          <w:i/>
          <w:spacing w:val="0"/>
        </w:rPr>
        <w:t>istributed</w:t>
      </w:r>
      <w:r>
        <w:rPr>
          <w:rFonts w:hint="eastAsia" w:ascii="Arial" w:hAnsi="Arial" w:cs="Arial"/>
          <w:i/>
          <w:spacing w:val="0"/>
          <w:lang w:val="en-US" w:eastAsia="zh-CN"/>
        </w:rPr>
        <w:t xml:space="preserve"> g</w:t>
      </w:r>
      <w:r>
        <w:rPr>
          <w:rFonts w:hint="eastAsia" w:ascii="Arial" w:hAnsi="Arial" w:cs="Arial"/>
          <w:i/>
          <w:spacing w:val="0"/>
        </w:rPr>
        <w:t xml:space="preserve">eneration and </w:t>
      </w:r>
      <w:r>
        <w:rPr>
          <w:rFonts w:hint="eastAsia" w:ascii="Arial" w:hAnsi="Arial" w:cs="Arial"/>
          <w:i/>
          <w:spacing w:val="0"/>
          <w:lang w:val="en-US" w:eastAsia="zh-CN"/>
        </w:rPr>
        <w:t>l</w:t>
      </w:r>
      <w:r>
        <w:rPr>
          <w:rFonts w:hint="eastAsia" w:ascii="Arial" w:hAnsi="Arial" w:cs="Arial"/>
          <w:i/>
          <w:spacing w:val="0"/>
        </w:rPr>
        <w:t xml:space="preserve">oad </w:t>
      </w:r>
      <w:r>
        <w:rPr>
          <w:rFonts w:hint="eastAsia" w:ascii="Arial" w:hAnsi="Arial" w:cs="Arial"/>
          <w:i/>
          <w:spacing w:val="0"/>
          <w:lang w:val="en-US" w:eastAsia="zh-CN"/>
        </w:rPr>
        <w:t>u</w:t>
      </w:r>
      <w:r>
        <w:rPr>
          <w:rFonts w:hint="eastAsia" w:ascii="Arial" w:hAnsi="Arial" w:cs="Arial"/>
          <w:i/>
          <w:spacing w:val="0"/>
        </w:rPr>
        <w:t>ncertainty</w:t>
      </w:r>
    </w:p>
    <w:p w14:paraId="5E0E6E1D">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 xml:space="preserve">This section analyzes the impact of source-load uncertainty on loop closing current, focusing on the variation trends of loop closing current under different load and PV output conditions. First, by reducing the load on L2, changes in loop closing current under varying load conditions are observed, as illustrated in </w:t>
      </w:r>
      <w:r>
        <w:rPr>
          <w:rFonts w:hint="eastAsia"/>
          <w:spacing w:val="0"/>
          <w:sz w:val="20"/>
          <w:lang w:val="en-US" w:eastAsia="zh-CN"/>
        </w:rPr>
        <w:t>Figure</w:t>
      </w:r>
      <w:r>
        <w:rPr>
          <w:spacing w:val="0"/>
          <w:sz w:val="20"/>
          <w:lang w:val="en-US"/>
        </w:rPr>
        <w:t xml:space="preserve"> 6(a), with corresponding data provided in Table 1. Subsequently, adjustments to the output power of PV1 result in changes in loop closing current due to reduced PV output, as shown in </w:t>
      </w:r>
      <w:r>
        <w:rPr>
          <w:rFonts w:hint="eastAsia"/>
          <w:spacing w:val="0"/>
          <w:sz w:val="20"/>
          <w:lang w:val="en-US" w:eastAsia="zh-CN"/>
        </w:rPr>
        <w:t>Figure</w:t>
      </w:r>
      <w:r>
        <w:rPr>
          <w:spacing w:val="0"/>
          <w:sz w:val="20"/>
          <w:lang w:val="en-US"/>
        </w:rPr>
        <w:t xml:space="preserve"> 6(b).</w:t>
      </w:r>
    </w:p>
    <w:p w14:paraId="4C33443B">
      <w:pPr>
        <w:keepNext w:val="0"/>
        <w:keepLines w:val="0"/>
        <w:pageBreakBefore w:val="0"/>
        <w:widowControl w:val="0"/>
        <w:kinsoku/>
        <w:wordWrap/>
        <w:overflowPunct/>
        <w:topLinePunct w:val="0"/>
        <w:autoSpaceDE/>
        <w:autoSpaceDN/>
        <w:bidi w:val="0"/>
        <w:adjustRightInd/>
        <w:snapToGrid/>
        <w:ind w:firstLine="283" w:firstLineChars="0"/>
        <w:textAlignment w:val="auto"/>
        <w:rPr>
          <w:rFonts w:hint="eastAsia"/>
          <w:spacing w:val="8"/>
          <w:lang w:val="en-US"/>
        </w:rPr>
      </w:pPr>
      <w:r>
        <w:rPr>
          <w:spacing w:val="0"/>
          <w:sz w:val="20"/>
          <w:lang w:val="en-US"/>
        </w:rPr>
        <w:t>The simulation results indicate that the bus voltage at B2 is higher than that at B1, and the phase of B2 leads B1, resulting in the loop closing current flowing from PCC2 to PCC1. When the PV output decreases, the active power supply in the system reduces, causing an increase in the voltage difference across the loop closing point, thereby raising the loop closing current. Similarly, as the load power on L2 decreases, the shunt effect at the loop closing point weakens, leading to a further increase in loop closing current. These results demonstrate that fluctuations in distributed generation and loads significantly affect loop closing current. Therefore, in practical operations, it is essential to account for source-load uncertainty to ensure accurate loop closing current calculations and provide reliable data for proactive loop closing decisions.</w:t>
      </w:r>
    </w:p>
    <w:p w14:paraId="45880C83">
      <w:pPr>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default"/>
          <w:lang w:val="en-US" w:eastAsia="zh-CN"/>
        </w:rPr>
      </w:pPr>
      <w:r>
        <w:rPr>
          <w:rFonts w:hint="default"/>
          <w:lang w:val="en-US" w:eastAsia="zh-CN"/>
        </w:rPr>
        <w:object>
          <v:shape id="_x0000_i1044" o:spt="75" type="#_x0000_t75" style="height:111pt;width:216.5pt;" o:ole="t" filled="f" o:preferrelative="t" stroked="f" coordsize="21600,21600">
            <v:path/>
            <v:fill on="f" focussize="0,0"/>
            <v:stroke on="f"/>
            <v:imagedata r:id="rId54" o:title=""/>
            <o:lock v:ext="edit" aspectratio="f"/>
            <w10:wrap type="none"/>
            <w10:anchorlock/>
          </v:shape>
          <o:OLEObject Type="Embed" ProgID="Visio.Drawing.15" ShapeID="_x0000_i1044" DrawAspect="Content" ObjectID="_1468075744" r:id="rId53">
            <o:LockedField>false</o:LockedField>
          </o:OLEObject>
        </w:object>
      </w:r>
    </w:p>
    <w:p w14:paraId="7AC9569E">
      <w:pPr>
        <w:pStyle w:val="4"/>
        <w:ind w:firstLine="0" w:firstLineChars="0"/>
        <w:jc w:val="center"/>
        <w:rPr>
          <w:rFonts w:hint="default"/>
          <w:i/>
          <w:spacing w:val="0"/>
          <w:sz w:val="16"/>
          <w:szCs w:val="16"/>
          <w:lang w:val="en-US" w:eastAsia="zh-CN"/>
        </w:rPr>
      </w:pPr>
      <w:r>
        <w:rPr>
          <w:rFonts w:hint="default"/>
          <w:i/>
          <w:spacing w:val="0"/>
          <w:sz w:val="16"/>
          <w:szCs w:val="16"/>
          <w:lang w:val="en-US" w:eastAsia="zh-CN"/>
        </w:rPr>
        <w:t>(a) Load L1 power fluctuation</w:t>
      </w:r>
    </w:p>
    <w:p w14:paraId="0F75D443">
      <w:pPr>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spacing w:val="0"/>
          <w:sz w:val="20"/>
          <w:lang w:val="en-US"/>
        </w:rPr>
      </w:pPr>
      <w:r>
        <w:rPr>
          <w:rFonts w:hint="default"/>
          <w:lang w:val="en-US" w:eastAsia="zh-CN"/>
        </w:rPr>
        <w:object>
          <v:shape id="_x0000_i1045" o:spt="75" type="#_x0000_t75" style="height:111pt;width:216.5pt;" o:ole="t" filled="f" o:preferrelative="t" stroked="f" coordsize="21600,21600">
            <v:path/>
            <v:fill on="f" focussize="0,0"/>
            <v:stroke on="f"/>
            <v:imagedata r:id="rId56" o:title=""/>
            <o:lock v:ext="edit" aspectratio="f"/>
            <w10:wrap type="none"/>
            <w10:anchorlock/>
          </v:shape>
          <o:OLEObject Type="Embed" ProgID="Visio.Drawing.15" ShapeID="_x0000_i1045" DrawAspect="Content" ObjectID="_1468075745" r:id="rId55">
            <o:LockedField>false</o:LockedField>
          </o:OLEObject>
        </w:object>
      </w:r>
    </w:p>
    <w:p w14:paraId="68BC5B82">
      <w:pPr>
        <w:pStyle w:val="4"/>
        <w:ind w:firstLine="0" w:firstLineChars="0"/>
        <w:jc w:val="center"/>
        <w:rPr>
          <w:rFonts w:hint="default"/>
          <w:i/>
          <w:spacing w:val="0"/>
          <w:sz w:val="16"/>
          <w:szCs w:val="16"/>
          <w:lang w:val="en-US" w:eastAsia="zh-CN"/>
        </w:rPr>
      </w:pPr>
      <w:r>
        <w:rPr>
          <w:rFonts w:hint="default"/>
          <w:i/>
          <w:spacing w:val="0"/>
          <w:sz w:val="16"/>
          <w:szCs w:val="16"/>
          <w:lang w:val="en-US" w:eastAsia="zh-CN"/>
        </w:rPr>
        <w:t>(b) PV1 output fluctuation</w:t>
      </w:r>
    </w:p>
    <w:p w14:paraId="65A847D1">
      <w:pPr>
        <w:pStyle w:val="50"/>
        <w:ind w:firstLine="0" w:firstLineChars="0"/>
        <w:jc w:val="left"/>
        <w:rPr>
          <w:rFonts w:hint="eastAsia"/>
          <w:sz w:val="18"/>
          <w:szCs w:val="18"/>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i w:val="0"/>
          <w:iCs/>
          <w:spacing w:val="0"/>
          <w:sz w:val="18"/>
          <w:szCs w:val="18"/>
          <w:lang w:val="en-US" w:eastAsia="zh-CN"/>
        </w:rPr>
        <w:t xml:space="preserve">6 </w:t>
      </w:r>
      <w:r>
        <w:rPr>
          <w:sz w:val="18"/>
          <w:szCs w:val="18"/>
        </w:rPr>
        <w:t xml:space="preserve"> </w:t>
      </w:r>
      <w:r>
        <w:rPr>
          <w:rFonts w:hint="eastAsia"/>
          <w:sz w:val="18"/>
          <w:szCs w:val="18"/>
        </w:rPr>
        <w:t>Loop closing current waveform under different source and load fluctuations</w:t>
      </w:r>
    </w:p>
    <w:p w14:paraId="07682E46">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p>
    <w:p w14:paraId="0065A88C">
      <w:pPr>
        <w:pStyle w:val="49"/>
        <w:keepNext w:val="0"/>
        <w:keepLines w:val="0"/>
        <w:pageBreakBefore w:val="0"/>
        <w:widowControl w:val="0"/>
        <w:kinsoku/>
        <w:wordWrap/>
        <w:overflowPunct/>
        <w:topLinePunct w:val="0"/>
        <w:autoSpaceDE/>
        <w:autoSpaceDN/>
        <w:bidi w:val="0"/>
        <w:adjustRightInd/>
        <w:snapToGrid/>
        <w:ind w:firstLine="0" w:firstLineChars="0"/>
        <w:jc w:val="both"/>
        <w:textAlignment w:val="auto"/>
        <w:rPr>
          <w:sz w:val="18"/>
          <w:szCs w:val="18"/>
        </w:rPr>
      </w:pPr>
      <w:r>
        <w:rPr>
          <w:rFonts w:hint="eastAsia"/>
          <w:b/>
          <w:i w:val="0"/>
          <w:iCs/>
          <w:spacing w:val="0"/>
          <w:sz w:val="18"/>
          <w:szCs w:val="18"/>
          <w:lang w:val="en-US" w:eastAsia="zh-CN"/>
        </w:rPr>
        <w:t>TABLE</w:t>
      </w:r>
      <w:r>
        <w:rPr>
          <w:b/>
          <w:bCs/>
          <w:i w:val="0"/>
          <w:iCs/>
          <w:spacing w:val="0"/>
          <w:sz w:val="18"/>
          <w:szCs w:val="18"/>
          <w:lang w:val="en-US"/>
        </w:rPr>
        <w:t xml:space="preserve"> </w:t>
      </w:r>
      <w:r>
        <w:rPr>
          <w:rFonts w:hint="eastAsia"/>
          <w:b/>
          <w:i w:val="0"/>
          <w:iCs/>
          <w:spacing w:val="0"/>
          <w:sz w:val="18"/>
          <w:szCs w:val="18"/>
          <w:lang w:val="en-US" w:eastAsia="zh-CN"/>
        </w:rPr>
        <w:t xml:space="preserve">1 </w:t>
      </w:r>
      <w:r>
        <w:rPr>
          <w:sz w:val="18"/>
          <w:szCs w:val="18"/>
        </w:rPr>
        <w:t xml:space="preserve"> </w:t>
      </w:r>
      <w:r>
        <w:rPr>
          <w:rFonts w:hint="eastAsia"/>
          <w:sz w:val="18"/>
          <w:szCs w:val="18"/>
          <w:lang w:val="en-US" w:eastAsia="zh-CN"/>
        </w:rPr>
        <w:t>Voltage d</w:t>
      </w:r>
      <w:r>
        <w:rPr>
          <w:rFonts w:hint="eastAsia"/>
          <w:sz w:val="18"/>
          <w:szCs w:val="18"/>
        </w:rPr>
        <w:t xml:space="preserve">ifference and </w:t>
      </w:r>
      <w:r>
        <w:rPr>
          <w:rFonts w:hint="eastAsia"/>
          <w:sz w:val="18"/>
          <w:szCs w:val="18"/>
          <w:lang w:val="en-US" w:eastAsia="zh-CN"/>
        </w:rPr>
        <w:t>l</w:t>
      </w:r>
      <w:r>
        <w:rPr>
          <w:rFonts w:hint="eastAsia"/>
          <w:sz w:val="18"/>
          <w:szCs w:val="18"/>
        </w:rPr>
        <w:t xml:space="preserve">oop </w:t>
      </w:r>
      <w:r>
        <w:rPr>
          <w:rFonts w:hint="eastAsia"/>
          <w:sz w:val="18"/>
          <w:szCs w:val="18"/>
          <w:lang w:val="en-US" w:eastAsia="zh-CN"/>
        </w:rPr>
        <w:t>c</w:t>
      </w:r>
      <w:r>
        <w:rPr>
          <w:rFonts w:hint="eastAsia"/>
          <w:sz w:val="18"/>
          <w:szCs w:val="18"/>
        </w:rPr>
        <w:t xml:space="preserve">losing </w:t>
      </w:r>
      <w:r>
        <w:rPr>
          <w:rFonts w:hint="eastAsia"/>
          <w:sz w:val="18"/>
          <w:szCs w:val="18"/>
          <w:lang w:val="en-US" w:eastAsia="zh-CN"/>
        </w:rPr>
        <w:t>c</w:t>
      </w:r>
      <w:r>
        <w:rPr>
          <w:rFonts w:hint="eastAsia"/>
          <w:sz w:val="18"/>
          <w:szCs w:val="18"/>
        </w:rPr>
        <w:t xml:space="preserve">urrent under </w:t>
      </w:r>
      <w:r>
        <w:rPr>
          <w:rFonts w:hint="eastAsia"/>
          <w:sz w:val="18"/>
          <w:szCs w:val="18"/>
          <w:lang w:val="en-US" w:eastAsia="zh-CN"/>
        </w:rPr>
        <w:t>v</w:t>
      </w:r>
      <w:r>
        <w:rPr>
          <w:rFonts w:hint="eastAsia"/>
          <w:sz w:val="18"/>
          <w:szCs w:val="18"/>
        </w:rPr>
        <w:t xml:space="preserve">arious </w:t>
      </w:r>
      <w:r>
        <w:rPr>
          <w:rFonts w:hint="eastAsia"/>
          <w:sz w:val="18"/>
          <w:szCs w:val="18"/>
          <w:lang w:val="en-US" w:eastAsia="zh-CN"/>
        </w:rPr>
        <w:t>s</w:t>
      </w:r>
      <w:r>
        <w:rPr>
          <w:rFonts w:hint="eastAsia"/>
          <w:sz w:val="18"/>
          <w:szCs w:val="18"/>
        </w:rPr>
        <w:t xml:space="preserve">ource and </w:t>
      </w:r>
      <w:r>
        <w:rPr>
          <w:rFonts w:hint="eastAsia"/>
          <w:sz w:val="18"/>
          <w:szCs w:val="18"/>
          <w:lang w:val="en-US" w:eastAsia="zh-CN"/>
        </w:rPr>
        <w:t>l</w:t>
      </w:r>
      <w:r>
        <w:rPr>
          <w:rFonts w:hint="eastAsia"/>
          <w:sz w:val="18"/>
          <w:szCs w:val="18"/>
        </w:rPr>
        <w:t xml:space="preserve">oad </w:t>
      </w:r>
      <w:r>
        <w:rPr>
          <w:rFonts w:hint="eastAsia"/>
          <w:sz w:val="18"/>
          <w:szCs w:val="18"/>
          <w:lang w:val="en-US" w:eastAsia="zh-CN"/>
        </w:rPr>
        <w:t>f</w:t>
      </w:r>
      <w:r>
        <w:rPr>
          <w:rFonts w:hint="eastAsia"/>
          <w:sz w:val="18"/>
          <w:szCs w:val="18"/>
        </w:rPr>
        <w:t>luctuations</w:t>
      </w:r>
    </w:p>
    <w:tbl>
      <w:tblPr>
        <w:tblStyle w:val="24"/>
        <w:tblW w:w="4768" w:type="pct"/>
        <w:jc w:val="center"/>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Layout w:type="autofit"/>
        <w:tblCellMar>
          <w:top w:w="0" w:type="dxa"/>
          <w:left w:w="108" w:type="dxa"/>
          <w:bottom w:w="0" w:type="dxa"/>
          <w:right w:w="108" w:type="dxa"/>
        </w:tblCellMar>
      </w:tblPr>
      <w:tblGrid>
        <w:gridCol w:w="789"/>
        <w:gridCol w:w="1046"/>
        <w:gridCol w:w="1074"/>
        <w:gridCol w:w="907"/>
        <w:gridCol w:w="845"/>
      </w:tblGrid>
      <w:tr w14:paraId="51EA628D">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7" w:hRule="atLeast"/>
          <w:jc w:val="center"/>
        </w:trPr>
        <w:tc>
          <w:tcPr>
            <w:tcW w:w="846" w:type="pct"/>
            <w:tcBorders>
              <w:bottom w:val="single" w:color="auto" w:sz="4" w:space="0"/>
            </w:tcBorders>
            <w:shd w:val="clear" w:color="auto" w:fill="FFFFFF"/>
            <w:vAlign w:val="center"/>
          </w:tcPr>
          <w:p w14:paraId="6EDCC088">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Scenario</w:t>
            </w:r>
          </w:p>
        </w:tc>
        <w:tc>
          <w:tcPr>
            <w:tcW w:w="1121" w:type="pct"/>
            <w:tcBorders>
              <w:bottom w:val="single" w:color="auto" w:sz="4" w:space="0"/>
            </w:tcBorders>
            <w:shd w:val="clear" w:color="auto" w:fill="FFFFFF"/>
            <w:vAlign w:val="center"/>
          </w:tcPr>
          <w:p w14:paraId="12430A42">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 xml:space="preserve">Voltage </w:t>
            </w:r>
            <w:r>
              <w:rPr>
                <w:rFonts w:hint="eastAsia" w:cs="Times New Roman"/>
                <w:lang w:val="en-US" w:eastAsia="zh-CN"/>
              </w:rPr>
              <w:t>d</w:t>
            </w:r>
            <w:r>
              <w:rPr>
                <w:rFonts w:hint="default" w:ascii="Times New Roman" w:hAnsi="Times New Roman" w:cs="Times New Roman"/>
                <w:lang w:val="en-US" w:eastAsia="zh-CN"/>
              </w:rPr>
              <w:t>ifference/V</w:t>
            </w:r>
          </w:p>
        </w:tc>
        <w:tc>
          <w:tcPr>
            <w:tcW w:w="1152" w:type="pct"/>
            <w:tcBorders>
              <w:bottom w:val="single" w:color="auto" w:sz="4" w:space="0"/>
            </w:tcBorders>
            <w:shd w:val="clear" w:color="auto" w:fill="FFFFFF"/>
            <w:vAlign w:val="center"/>
          </w:tcPr>
          <w:p w14:paraId="55AAF7B0">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cs="Times New Roman"/>
                <w:lang w:val="en-US"/>
              </w:rPr>
            </w:pPr>
            <w:r>
              <w:rPr>
                <w:rFonts w:hint="default" w:ascii="Times New Roman" w:hAnsi="Times New Roman" w:cs="Times New Roman"/>
                <w:lang w:val="en-US" w:eastAsia="zh-CN"/>
              </w:rPr>
              <w:t xml:space="preserve">Phase </w:t>
            </w:r>
            <w:r>
              <w:rPr>
                <w:rFonts w:hint="eastAsia" w:cs="Times New Roman"/>
                <w:lang w:val="en-US" w:eastAsia="zh-CN"/>
              </w:rPr>
              <w:t>d</w:t>
            </w:r>
            <w:r>
              <w:rPr>
                <w:rFonts w:hint="default" w:ascii="Times New Roman" w:hAnsi="Times New Roman" w:cs="Times New Roman"/>
                <w:lang w:val="en-US" w:eastAsia="zh-CN"/>
              </w:rPr>
              <w:t>ifference /°</w:t>
            </w:r>
          </w:p>
        </w:tc>
        <w:tc>
          <w:tcPr>
            <w:tcW w:w="972" w:type="pct"/>
            <w:tcBorders>
              <w:bottom w:val="single" w:color="auto" w:sz="4" w:space="0"/>
            </w:tcBorders>
            <w:shd w:val="clear" w:color="auto" w:fill="FFFFFF"/>
            <w:vAlign w:val="center"/>
          </w:tcPr>
          <w:p w14:paraId="5107C108">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iCs/>
                <w:lang w:val="en-US" w:eastAsia="zh-CN"/>
              </w:rPr>
            </w:pPr>
            <w:r>
              <w:rPr>
                <w:rFonts w:hint="default" w:ascii="Times New Roman" w:hAnsi="Times New Roman" w:cs="Times New Roman"/>
                <w:iCs/>
                <w:lang w:val="en-US" w:eastAsia="zh-CN"/>
              </w:rPr>
              <w:t xml:space="preserve">Steady </w:t>
            </w:r>
            <w:r>
              <w:rPr>
                <w:rFonts w:hint="eastAsia" w:cs="Times New Roman"/>
                <w:iCs/>
                <w:lang w:val="en-US" w:eastAsia="zh-CN"/>
              </w:rPr>
              <w:t>c</w:t>
            </w:r>
            <w:r>
              <w:rPr>
                <w:rFonts w:hint="default" w:ascii="Times New Roman" w:hAnsi="Times New Roman" w:cs="Times New Roman"/>
                <w:iCs/>
                <w:lang w:val="en-US" w:eastAsia="zh-CN"/>
              </w:rPr>
              <w:t>urrent /A</w:t>
            </w:r>
          </w:p>
        </w:tc>
        <w:tc>
          <w:tcPr>
            <w:tcW w:w="906" w:type="pct"/>
            <w:tcBorders>
              <w:bottom w:val="single" w:color="auto" w:sz="4" w:space="0"/>
            </w:tcBorders>
            <w:shd w:val="clear" w:color="auto" w:fill="FFFFFF"/>
            <w:vAlign w:val="center"/>
          </w:tcPr>
          <w:p w14:paraId="09F10E67">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cs="Times New Roman"/>
                <w:iCs/>
                <w:lang w:val="en-US" w:eastAsia="zh-CN"/>
              </w:rPr>
            </w:pPr>
            <w:r>
              <w:rPr>
                <w:rFonts w:hint="default" w:ascii="Times New Roman" w:hAnsi="Times New Roman" w:cs="Times New Roman"/>
                <w:iCs/>
                <w:lang w:val="en-US" w:eastAsia="zh-CN"/>
              </w:rPr>
              <w:t xml:space="preserve">Impact </w:t>
            </w:r>
            <w:r>
              <w:rPr>
                <w:rFonts w:hint="eastAsia" w:cs="Times New Roman"/>
                <w:iCs/>
                <w:lang w:val="en-US" w:eastAsia="zh-CN"/>
              </w:rPr>
              <w:t>c</w:t>
            </w:r>
            <w:r>
              <w:rPr>
                <w:rFonts w:hint="default" w:ascii="Times New Roman" w:hAnsi="Times New Roman" w:cs="Times New Roman"/>
                <w:iCs/>
                <w:lang w:val="en-US" w:eastAsia="zh-CN"/>
              </w:rPr>
              <w:t>urrent/A</w:t>
            </w:r>
          </w:p>
        </w:tc>
      </w:tr>
      <w:tr w14:paraId="37D8C3CD">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9" w:hRule="atLeast"/>
          <w:jc w:val="center"/>
        </w:trPr>
        <w:tc>
          <w:tcPr>
            <w:tcW w:w="846" w:type="pct"/>
            <w:tcBorders>
              <w:top w:val="single" w:color="auto" w:sz="4" w:space="0"/>
              <w:bottom w:val="nil"/>
            </w:tcBorders>
            <w:shd w:val="clear" w:color="auto" w:fill="FFFFFF"/>
            <w:vAlign w:val="center"/>
          </w:tcPr>
          <w:p w14:paraId="24CC512D">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Intial L2</w:t>
            </w:r>
          </w:p>
        </w:tc>
        <w:tc>
          <w:tcPr>
            <w:tcW w:w="1121" w:type="pct"/>
            <w:tcBorders>
              <w:top w:val="single" w:color="auto" w:sz="4" w:space="0"/>
              <w:bottom w:val="nil"/>
            </w:tcBorders>
            <w:shd w:val="clear" w:color="auto" w:fill="FFFFFF"/>
            <w:vAlign w:val="center"/>
          </w:tcPr>
          <w:p w14:paraId="6B0D4619">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1589.80</w:t>
            </w:r>
          </w:p>
        </w:tc>
        <w:tc>
          <w:tcPr>
            <w:tcW w:w="1152" w:type="pct"/>
            <w:tcBorders>
              <w:top w:val="single" w:color="auto" w:sz="4" w:space="0"/>
              <w:bottom w:val="nil"/>
            </w:tcBorders>
            <w:shd w:val="clear" w:color="auto" w:fill="FFFFFF"/>
            <w:vAlign w:val="center"/>
          </w:tcPr>
          <w:p w14:paraId="68A62A35">
            <w:pPr>
              <w:pStyle w:val="77"/>
              <w:keepNext w:val="0"/>
              <w:keepLines w:val="0"/>
              <w:pageBreakBefore w:val="0"/>
              <w:widowControl w:val="0"/>
              <w:kinsoku/>
              <w:wordWrap/>
              <w:overflowPunct/>
              <w:topLinePunct w:val="0"/>
              <w:autoSpaceDE/>
              <w:autoSpaceDN/>
              <w:bidi w:val="0"/>
              <w:adjustRightInd/>
              <w:snapToGrid w:val="0"/>
              <w:spacing w:before="60" w:after="60"/>
              <w:ind w:firstLine="0" w:firstLineChars="0"/>
              <w:jc w:val="center"/>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lang w:val="en-US" w:eastAsia="zh-CN"/>
              </w:rPr>
              <w:t>4.18</w:t>
            </w:r>
          </w:p>
        </w:tc>
        <w:tc>
          <w:tcPr>
            <w:tcW w:w="972" w:type="pct"/>
            <w:tcBorders>
              <w:top w:val="single" w:color="auto" w:sz="4" w:space="0"/>
              <w:bottom w:val="nil"/>
            </w:tcBorders>
            <w:shd w:val="clear" w:color="auto" w:fill="FFFFFF"/>
            <w:vAlign w:val="center"/>
          </w:tcPr>
          <w:p w14:paraId="5D12C8CA">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277.49</w:t>
            </w:r>
          </w:p>
        </w:tc>
        <w:tc>
          <w:tcPr>
            <w:tcW w:w="906" w:type="pct"/>
            <w:tcBorders>
              <w:top w:val="single" w:color="auto" w:sz="4" w:space="0"/>
              <w:bottom w:val="nil"/>
            </w:tcBorders>
            <w:shd w:val="clear" w:color="auto" w:fill="FFFFFF"/>
            <w:vAlign w:val="center"/>
          </w:tcPr>
          <w:p w14:paraId="066B841C">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282.67</w:t>
            </w:r>
          </w:p>
        </w:tc>
      </w:tr>
      <w:tr w14:paraId="76656CCE">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2" w:hRule="atLeast"/>
          <w:jc w:val="center"/>
        </w:trPr>
        <w:tc>
          <w:tcPr>
            <w:tcW w:w="846" w:type="pct"/>
            <w:tcBorders>
              <w:top w:val="nil"/>
              <w:bottom w:val="nil"/>
            </w:tcBorders>
            <w:shd w:val="clear" w:color="auto" w:fill="FFFFFF"/>
            <w:vAlign w:val="center"/>
          </w:tcPr>
          <w:p w14:paraId="71713692">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cs="Times New Roman"/>
              </w:rPr>
            </w:pPr>
            <w:r>
              <w:rPr>
                <w:rFonts w:hint="default" w:ascii="Times New Roman" w:hAnsi="Times New Roman" w:cs="Times New Roman"/>
                <w:lang w:val="en-US" w:eastAsia="zh-CN"/>
              </w:rPr>
              <w:t>50% L2</w:t>
            </w:r>
          </w:p>
        </w:tc>
        <w:tc>
          <w:tcPr>
            <w:tcW w:w="1121" w:type="pct"/>
            <w:tcBorders>
              <w:top w:val="nil"/>
              <w:bottom w:val="nil"/>
            </w:tcBorders>
            <w:shd w:val="clear" w:color="auto" w:fill="FFFFFF"/>
            <w:vAlign w:val="center"/>
          </w:tcPr>
          <w:p w14:paraId="031DDB4B">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1725.79</w:t>
            </w:r>
          </w:p>
        </w:tc>
        <w:tc>
          <w:tcPr>
            <w:tcW w:w="1152" w:type="pct"/>
            <w:tcBorders>
              <w:top w:val="nil"/>
              <w:bottom w:val="nil"/>
            </w:tcBorders>
            <w:shd w:val="clear" w:color="auto" w:fill="FFFFFF"/>
            <w:vAlign w:val="center"/>
          </w:tcPr>
          <w:p w14:paraId="2CEFC136">
            <w:pPr>
              <w:pStyle w:val="77"/>
              <w:keepNext w:val="0"/>
              <w:keepLines w:val="0"/>
              <w:pageBreakBefore w:val="0"/>
              <w:widowControl w:val="0"/>
              <w:kinsoku/>
              <w:wordWrap/>
              <w:overflowPunct/>
              <w:topLinePunct w:val="0"/>
              <w:autoSpaceDE/>
              <w:autoSpaceDN/>
              <w:bidi w:val="0"/>
              <w:adjustRightInd/>
              <w:snapToGrid w:val="0"/>
              <w:spacing w:before="60" w:after="60"/>
              <w:ind w:firstLine="0" w:firstLineChars="0"/>
              <w:jc w:val="center"/>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lang w:val="en-US" w:eastAsia="zh-CN"/>
              </w:rPr>
              <w:t>4.32</w:t>
            </w:r>
          </w:p>
        </w:tc>
        <w:tc>
          <w:tcPr>
            <w:tcW w:w="972" w:type="pct"/>
            <w:tcBorders>
              <w:top w:val="nil"/>
              <w:bottom w:val="nil"/>
            </w:tcBorders>
            <w:shd w:val="clear" w:color="auto" w:fill="FFFFFF"/>
            <w:vAlign w:val="center"/>
          </w:tcPr>
          <w:p w14:paraId="47C85AE4">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291.10</w:t>
            </w:r>
          </w:p>
        </w:tc>
        <w:tc>
          <w:tcPr>
            <w:tcW w:w="906" w:type="pct"/>
            <w:tcBorders>
              <w:top w:val="nil"/>
              <w:bottom w:val="nil"/>
            </w:tcBorders>
            <w:shd w:val="clear" w:color="auto" w:fill="FFFFFF"/>
            <w:vAlign w:val="center"/>
          </w:tcPr>
          <w:p w14:paraId="2D335F7A">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296.52</w:t>
            </w:r>
          </w:p>
        </w:tc>
      </w:tr>
      <w:tr w14:paraId="03BDA56B">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2" w:hRule="atLeast"/>
          <w:jc w:val="center"/>
        </w:trPr>
        <w:tc>
          <w:tcPr>
            <w:tcW w:w="846" w:type="pct"/>
            <w:tcBorders>
              <w:top w:val="nil"/>
              <w:bottom w:val="nil"/>
            </w:tcBorders>
            <w:shd w:val="clear" w:color="auto" w:fill="FFFFFF"/>
            <w:vAlign w:val="center"/>
          </w:tcPr>
          <w:p w14:paraId="59618385">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No L2</w:t>
            </w:r>
          </w:p>
        </w:tc>
        <w:tc>
          <w:tcPr>
            <w:tcW w:w="1121" w:type="pct"/>
            <w:tcBorders>
              <w:top w:val="nil"/>
              <w:bottom w:val="nil"/>
            </w:tcBorders>
            <w:shd w:val="clear" w:color="auto" w:fill="FFFFFF"/>
            <w:vAlign w:val="center"/>
          </w:tcPr>
          <w:p w14:paraId="407B8E9D">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1862.45</w:t>
            </w:r>
          </w:p>
        </w:tc>
        <w:tc>
          <w:tcPr>
            <w:tcW w:w="1152" w:type="pct"/>
            <w:tcBorders>
              <w:top w:val="nil"/>
              <w:bottom w:val="nil"/>
            </w:tcBorders>
            <w:shd w:val="clear" w:color="auto" w:fill="FFFFFF"/>
            <w:vAlign w:val="center"/>
          </w:tcPr>
          <w:p w14:paraId="128279DF">
            <w:pPr>
              <w:pStyle w:val="77"/>
              <w:keepNext w:val="0"/>
              <w:keepLines w:val="0"/>
              <w:pageBreakBefore w:val="0"/>
              <w:widowControl w:val="0"/>
              <w:kinsoku/>
              <w:wordWrap/>
              <w:overflowPunct/>
              <w:topLinePunct w:val="0"/>
              <w:autoSpaceDE/>
              <w:autoSpaceDN/>
              <w:bidi w:val="0"/>
              <w:adjustRightInd/>
              <w:snapToGrid w:val="0"/>
              <w:spacing w:before="60" w:after="60"/>
              <w:ind w:firstLine="0" w:firstLineChars="0"/>
              <w:jc w:val="center"/>
              <w:textAlignment w:val="auto"/>
              <w:rPr>
                <w:rFonts w:hint="default" w:ascii="Times New Roman" w:hAnsi="Times New Roman" w:eastAsia="宋体" w:cs="Times New Roman"/>
                <w:bCs/>
                <w:spacing w:val="6"/>
                <w:kern w:val="20"/>
                <w:sz w:val="15"/>
                <w:szCs w:val="24"/>
                <w:lang w:val="en-US" w:eastAsia="zh-CN" w:bidi="ar-SA"/>
              </w:rPr>
            </w:pPr>
            <w:r>
              <w:rPr>
                <w:rFonts w:hint="eastAsia" w:cs="Times New Roman"/>
                <w:bCs/>
                <w:lang w:val="en-US" w:eastAsia="zh-CN"/>
              </w:rPr>
              <w:t>4.46</w:t>
            </w:r>
          </w:p>
        </w:tc>
        <w:tc>
          <w:tcPr>
            <w:tcW w:w="972" w:type="pct"/>
            <w:tcBorders>
              <w:top w:val="nil"/>
              <w:bottom w:val="nil"/>
            </w:tcBorders>
            <w:shd w:val="clear" w:color="auto" w:fill="FFFFFF"/>
            <w:vAlign w:val="center"/>
          </w:tcPr>
          <w:p w14:paraId="2577D2AD">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304.94</w:t>
            </w:r>
          </w:p>
        </w:tc>
        <w:tc>
          <w:tcPr>
            <w:tcW w:w="906" w:type="pct"/>
            <w:tcBorders>
              <w:top w:val="nil"/>
              <w:bottom w:val="nil"/>
            </w:tcBorders>
            <w:shd w:val="clear" w:color="auto" w:fill="FFFFFF"/>
            <w:vAlign w:val="center"/>
          </w:tcPr>
          <w:p w14:paraId="2BA6795E">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310.64</w:t>
            </w:r>
          </w:p>
        </w:tc>
      </w:tr>
      <w:tr w14:paraId="21D2A30C">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2" w:hRule="atLeast"/>
          <w:jc w:val="center"/>
        </w:trPr>
        <w:tc>
          <w:tcPr>
            <w:tcW w:w="846" w:type="pct"/>
            <w:tcBorders>
              <w:top w:val="nil"/>
              <w:bottom w:val="nil"/>
            </w:tcBorders>
            <w:shd w:val="clear" w:color="auto" w:fill="FFFFFF"/>
            <w:vAlign w:val="center"/>
          </w:tcPr>
          <w:p w14:paraId="770F4216">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100MW PV1</w:t>
            </w:r>
          </w:p>
        </w:tc>
        <w:tc>
          <w:tcPr>
            <w:tcW w:w="1121" w:type="pct"/>
            <w:tcBorders>
              <w:top w:val="nil"/>
              <w:bottom w:val="nil"/>
            </w:tcBorders>
            <w:shd w:val="clear" w:color="auto" w:fill="FFFFFF"/>
            <w:vAlign w:val="center"/>
          </w:tcPr>
          <w:p w14:paraId="041366FA">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1589.80</w:t>
            </w:r>
          </w:p>
        </w:tc>
        <w:tc>
          <w:tcPr>
            <w:tcW w:w="1152" w:type="pct"/>
            <w:tcBorders>
              <w:top w:val="nil"/>
              <w:bottom w:val="nil"/>
            </w:tcBorders>
            <w:shd w:val="clear" w:color="auto" w:fill="FFFFFF"/>
            <w:vAlign w:val="center"/>
          </w:tcPr>
          <w:p w14:paraId="2F657A67">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4.18</w:t>
            </w:r>
          </w:p>
        </w:tc>
        <w:tc>
          <w:tcPr>
            <w:tcW w:w="972" w:type="pct"/>
            <w:tcBorders>
              <w:top w:val="nil"/>
              <w:bottom w:val="nil"/>
            </w:tcBorders>
            <w:shd w:val="clear" w:color="auto" w:fill="FFFFFF"/>
            <w:vAlign w:val="center"/>
          </w:tcPr>
          <w:p w14:paraId="2349625C">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277.4</w:t>
            </w:r>
            <w:r>
              <w:rPr>
                <w:rFonts w:hint="eastAsia" w:cs="Times New Roman"/>
                <w:lang w:val="en-US" w:eastAsia="zh-CN"/>
              </w:rPr>
              <w:t>9</w:t>
            </w:r>
          </w:p>
        </w:tc>
        <w:tc>
          <w:tcPr>
            <w:tcW w:w="906" w:type="pct"/>
            <w:tcBorders>
              <w:top w:val="nil"/>
              <w:bottom w:val="nil"/>
            </w:tcBorders>
            <w:shd w:val="clear" w:color="auto" w:fill="FFFFFF"/>
            <w:vAlign w:val="center"/>
          </w:tcPr>
          <w:p w14:paraId="076E3AB4">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282.67</w:t>
            </w:r>
          </w:p>
        </w:tc>
      </w:tr>
      <w:tr w14:paraId="793AF8E9">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2" w:hRule="atLeast"/>
          <w:jc w:val="center"/>
        </w:trPr>
        <w:tc>
          <w:tcPr>
            <w:tcW w:w="846" w:type="pct"/>
            <w:tcBorders>
              <w:top w:val="nil"/>
              <w:bottom w:val="nil"/>
            </w:tcBorders>
            <w:shd w:val="clear" w:color="auto" w:fill="FFFFFF"/>
            <w:vAlign w:val="center"/>
          </w:tcPr>
          <w:p w14:paraId="2DF589D2">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50MW PV1</w:t>
            </w:r>
          </w:p>
        </w:tc>
        <w:tc>
          <w:tcPr>
            <w:tcW w:w="1121" w:type="pct"/>
            <w:tcBorders>
              <w:top w:val="nil"/>
              <w:bottom w:val="nil"/>
            </w:tcBorders>
            <w:shd w:val="clear" w:color="auto" w:fill="FFFFFF"/>
            <w:vAlign w:val="center"/>
          </w:tcPr>
          <w:p w14:paraId="6E522632">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1640.62</w:t>
            </w:r>
          </w:p>
        </w:tc>
        <w:tc>
          <w:tcPr>
            <w:tcW w:w="1152" w:type="pct"/>
            <w:tcBorders>
              <w:top w:val="nil"/>
              <w:bottom w:val="nil"/>
            </w:tcBorders>
            <w:shd w:val="clear" w:color="auto" w:fill="FFFFFF"/>
            <w:vAlign w:val="center"/>
          </w:tcPr>
          <w:p w14:paraId="7A3CEACA">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eastAsia" w:cs="Times New Roman"/>
                <w:bCs/>
                <w:lang w:val="en-US" w:eastAsia="zh-CN"/>
              </w:rPr>
              <w:t>4.36</w:t>
            </w:r>
          </w:p>
        </w:tc>
        <w:tc>
          <w:tcPr>
            <w:tcW w:w="972" w:type="pct"/>
            <w:tcBorders>
              <w:top w:val="nil"/>
              <w:bottom w:val="nil"/>
            </w:tcBorders>
            <w:shd w:val="clear" w:color="auto" w:fill="FFFFFF"/>
            <w:vAlign w:val="center"/>
          </w:tcPr>
          <w:p w14:paraId="2EAB1564">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288.91</w:t>
            </w:r>
          </w:p>
        </w:tc>
        <w:tc>
          <w:tcPr>
            <w:tcW w:w="906" w:type="pct"/>
            <w:tcBorders>
              <w:top w:val="nil"/>
              <w:bottom w:val="nil"/>
            </w:tcBorders>
            <w:shd w:val="clear" w:color="auto" w:fill="FFFFFF"/>
            <w:vAlign w:val="center"/>
          </w:tcPr>
          <w:p w14:paraId="5BEA1375">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lang w:val="en-US" w:eastAsia="zh-CN"/>
              </w:rPr>
            </w:pPr>
            <w:r>
              <w:rPr>
                <w:rFonts w:hint="default" w:ascii="Times New Roman" w:hAnsi="Times New Roman" w:cs="Times New Roman"/>
                <w:lang w:val="en-US" w:eastAsia="zh-CN"/>
              </w:rPr>
              <w:t>294.17</w:t>
            </w:r>
          </w:p>
        </w:tc>
      </w:tr>
      <w:tr w14:paraId="319A7E23">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9" w:hRule="atLeast"/>
          <w:jc w:val="center"/>
        </w:trPr>
        <w:tc>
          <w:tcPr>
            <w:tcW w:w="846" w:type="pct"/>
            <w:tcBorders>
              <w:top w:val="nil"/>
              <w:bottom w:val="single" w:color="auto" w:sz="6" w:space="0"/>
            </w:tcBorders>
            <w:shd w:val="clear" w:color="auto" w:fill="FFFFFF"/>
            <w:vAlign w:val="center"/>
          </w:tcPr>
          <w:p w14:paraId="6A8667A6">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bCs/>
                <w:lang w:val="en-US" w:eastAsia="zh-CN"/>
              </w:rPr>
            </w:pPr>
            <w:r>
              <w:rPr>
                <w:rFonts w:hint="default" w:ascii="Times New Roman" w:hAnsi="Times New Roman" w:cs="Times New Roman"/>
                <w:bCs/>
                <w:lang w:val="en-US" w:eastAsia="zh-CN"/>
              </w:rPr>
              <w:t>No PV1</w:t>
            </w:r>
          </w:p>
        </w:tc>
        <w:tc>
          <w:tcPr>
            <w:tcW w:w="1121" w:type="pct"/>
            <w:tcBorders>
              <w:top w:val="nil"/>
              <w:bottom w:val="single" w:color="auto" w:sz="6" w:space="0"/>
            </w:tcBorders>
            <w:shd w:val="clear" w:color="auto" w:fill="FFFFFF"/>
            <w:vAlign w:val="center"/>
          </w:tcPr>
          <w:p w14:paraId="69DFF423">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1686.04</w:t>
            </w:r>
          </w:p>
        </w:tc>
        <w:tc>
          <w:tcPr>
            <w:tcW w:w="1152" w:type="pct"/>
            <w:tcBorders>
              <w:top w:val="nil"/>
              <w:bottom w:val="single" w:color="auto" w:sz="6" w:space="0"/>
            </w:tcBorders>
            <w:shd w:val="clear" w:color="auto" w:fill="FFFFFF"/>
            <w:vAlign w:val="center"/>
          </w:tcPr>
          <w:p w14:paraId="55E41D6D">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bCs/>
                <w:lang w:val="en-US" w:eastAsia="zh-CN"/>
              </w:rPr>
            </w:pPr>
            <w:r>
              <w:rPr>
                <w:rFonts w:hint="eastAsia" w:cs="Times New Roman"/>
                <w:lang w:val="en-US" w:eastAsia="zh-CN"/>
              </w:rPr>
              <w:t>4.69</w:t>
            </w:r>
          </w:p>
        </w:tc>
        <w:tc>
          <w:tcPr>
            <w:tcW w:w="972" w:type="pct"/>
            <w:tcBorders>
              <w:top w:val="nil"/>
              <w:bottom w:val="single" w:color="auto" w:sz="6" w:space="0"/>
            </w:tcBorders>
            <w:shd w:val="clear" w:color="auto" w:fill="FFFFFF"/>
            <w:vAlign w:val="center"/>
          </w:tcPr>
          <w:p w14:paraId="0EDC8D42">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bCs/>
                <w:lang w:val="en-US" w:eastAsia="zh-CN"/>
              </w:rPr>
            </w:pPr>
            <w:r>
              <w:rPr>
                <w:rFonts w:hint="default" w:ascii="Times New Roman" w:hAnsi="Times New Roman" w:cs="Times New Roman"/>
                <w:bCs/>
                <w:lang w:val="en-US" w:eastAsia="zh-CN"/>
              </w:rPr>
              <w:t>290.25</w:t>
            </w:r>
          </w:p>
        </w:tc>
        <w:tc>
          <w:tcPr>
            <w:tcW w:w="906" w:type="pct"/>
            <w:tcBorders>
              <w:top w:val="nil"/>
              <w:bottom w:val="single" w:color="auto" w:sz="6" w:space="0"/>
            </w:tcBorders>
            <w:shd w:val="clear" w:color="auto" w:fill="FFFFFF"/>
            <w:vAlign w:val="center"/>
          </w:tcPr>
          <w:p w14:paraId="6A6AE0D9">
            <w:pPr>
              <w:pStyle w:val="77"/>
              <w:keepNext w:val="0"/>
              <w:keepLines w:val="0"/>
              <w:pageBreakBefore w:val="0"/>
              <w:widowControl w:val="0"/>
              <w:kinsoku/>
              <w:wordWrap/>
              <w:overflowPunct/>
              <w:topLinePunct w:val="0"/>
              <w:autoSpaceDE/>
              <w:autoSpaceDN/>
              <w:bidi w:val="0"/>
              <w:adjustRightInd/>
              <w:snapToGrid w:val="0"/>
              <w:spacing w:before="60" w:after="60"/>
              <w:ind w:firstLineChars="0"/>
              <w:jc w:val="center"/>
              <w:textAlignment w:val="auto"/>
              <w:rPr>
                <w:rFonts w:hint="default" w:ascii="Times New Roman" w:hAnsi="Times New Roman" w:eastAsia="宋体" w:cs="Times New Roman"/>
                <w:bCs/>
                <w:lang w:val="en-US" w:eastAsia="zh-CN"/>
              </w:rPr>
            </w:pPr>
            <w:r>
              <w:rPr>
                <w:rFonts w:hint="default" w:ascii="Times New Roman" w:hAnsi="Times New Roman" w:cs="Times New Roman"/>
                <w:bCs/>
                <w:lang w:val="en-US" w:eastAsia="zh-CN"/>
              </w:rPr>
              <w:t>295.62</w:t>
            </w:r>
          </w:p>
        </w:tc>
      </w:tr>
    </w:tbl>
    <w:p w14:paraId="40D2D107">
      <w:pPr>
        <w:pStyle w:val="6"/>
        <w:ind w:firstLine="0" w:firstLineChars="0"/>
        <w:rPr>
          <w:rFonts w:hint="eastAsia" w:ascii="Arial" w:hAnsi="Arial" w:cs="Arial"/>
          <w:bCs/>
          <w:i/>
          <w:spacing w:val="0"/>
          <w:lang w:val="en-US" w:eastAsia="zh-CN"/>
        </w:rPr>
      </w:pPr>
      <w:r>
        <w:rPr>
          <w:rFonts w:hint="eastAsia" w:ascii="Arial" w:hAnsi="Arial" w:cs="Arial"/>
          <w:bCs/>
          <w:i/>
          <w:spacing w:val="0"/>
          <w:lang w:val="en-US" w:eastAsia="zh-CN"/>
        </w:rPr>
        <w:t>5</w:t>
      </w:r>
      <w:r>
        <w:rPr>
          <w:rFonts w:ascii="Arial" w:hAnsi="Arial" w:cs="Arial"/>
          <w:bCs/>
          <w:i/>
          <w:spacing w:val="0"/>
        </w:rPr>
        <w:t>.</w:t>
      </w:r>
      <w:r>
        <w:rPr>
          <w:rFonts w:hint="eastAsia" w:ascii="Arial" w:hAnsi="Arial" w:cs="Arial"/>
          <w:bCs/>
          <w:i/>
          <w:spacing w:val="0"/>
          <w:lang w:val="en-US" w:eastAsia="zh-CN"/>
        </w:rPr>
        <w:t>3</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bCs/>
          <w:i/>
          <w:spacing w:val="0"/>
          <w:lang w:val="en-US" w:eastAsia="zh-CN"/>
        </w:rPr>
        <w:t>Verification of equivalent modeling under source-load disturbances</w:t>
      </w:r>
    </w:p>
    <w:p w14:paraId="3BC24934">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This section analyzes the accuracy of the external system’s equivalent model under source-load disturbances. Taking the left-side external system in Fig</w:t>
      </w:r>
      <w:r>
        <w:rPr>
          <w:rFonts w:hint="eastAsia"/>
          <w:spacing w:val="0"/>
          <w:sz w:val="20"/>
          <w:lang w:val="en-US" w:eastAsia="zh-CN"/>
        </w:rPr>
        <w:t>ure</w:t>
      </w:r>
      <w:r>
        <w:rPr>
          <w:spacing w:val="0"/>
          <w:sz w:val="20"/>
          <w:lang w:val="en-US"/>
        </w:rPr>
        <w:t xml:space="preserve"> 5 as an example, the external system is set up with three conditions: the original system state, the addition of a three-phase balanced load (0.61+j0.14MVA) at L1, and the addition of an AB-phase unbalanced load (0.61+j0.14MVA) on top of condition 2. Within the internal system, disturbances are first applied to PV2, and then PV2 is replaced by L3 to evaluate the equivalent model's performance under different conditions.</w:t>
      </w:r>
    </w:p>
    <w:p w14:paraId="6580FA3C">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To obtain the equivalent model of the external system, disturbances are applied to the internal system. First, the irradiance of PV2 is adjusted to disturb the internal system. Next, PV2 is replaced by L2, and the load power of L2 is altered to apply further disturbances. The equivalent impedance and open-circuit voltage of the left-side external system are finally calculated, as shown in Fig</w:t>
      </w:r>
      <w:r>
        <w:rPr>
          <w:rFonts w:hint="eastAsia"/>
          <w:spacing w:val="0"/>
          <w:sz w:val="20"/>
          <w:lang w:val="en-US" w:eastAsia="zh-CN"/>
        </w:rPr>
        <w:t>ure</w:t>
      </w:r>
      <w:r>
        <w:rPr>
          <w:spacing w:val="0"/>
          <w:sz w:val="20"/>
          <w:lang w:val="en-US"/>
        </w:rPr>
        <w:t xml:space="preserve"> 7, with the results provided in Table 2.</w:t>
      </w:r>
    </w:p>
    <w:p w14:paraId="6A2D5A1D">
      <w:pPr>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spacing w:val="0"/>
          <w:sz w:val="20"/>
          <w:lang w:val="en-US"/>
        </w:rPr>
      </w:pPr>
      <w:r>
        <w:rPr>
          <w:rFonts w:hint="eastAsia"/>
          <w:spacing w:val="2"/>
          <w:lang w:val="en-US" w:eastAsia="zh-CN"/>
        </w:rPr>
        <w:object>
          <v:shape id="_x0000_i1046" o:spt="75" type="#_x0000_t75" style="height:110.5pt;width:213.5pt;" o:ole="t" filled="f" o:preferrelative="t" stroked="f" coordsize="21600,21600">
            <v:path/>
            <v:fill on="f" focussize="0,0"/>
            <v:stroke on="f"/>
            <v:imagedata r:id="rId58" o:title=""/>
            <o:lock v:ext="edit" aspectratio="f"/>
            <w10:wrap type="none"/>
            <w10:anchorlock/>
          </v:shape>
          <o:OLEObject Type="Embed" ProgID="Visio.Drawing.15" ShapeID="_x0000_i1046" DrawAspect="Content" ObjectID="_1468075746" r:id="rId57">
            <o:LockedField>false</o:LockedField>
          </o:OLEObject>
        </w:object>
      </w:r>
    </w:p>
    <w:p w14:paraId="5AE69386">
      <w:pPr>
        <w:pStyle w:val="4"/>
        <w:ind w:firstLine="0" w:firstLineChars="0"/>
        <w:jc w:val="center"/>
        <w:rPr>
          <w:rFonts w:hint="default"/>
          <w:i/>
          <w:spacing w:val="0"/>
          <w:sz w:val="16"/>
          <w:szCs w:val="16"/>
          <w:lang w:val="en-US" w:eastAsia="zh-CN"/>
        </w:rPr>
      </w:pPr>
      <w:r>
        <w:rPr>
          <w:rFonts w:hint="default"/>
          <w:i/>
          <w:spacing w:val="0"/>
          <w:sz w:val="16"/>
          <w:szCs w:val="16"/>
          <w:lang w:val="en-US" w:eastAsia="zh-CN"/>
        </w:rPr>
        <w:t>(a) Equivalent Resistance</w:t>
      </w:r>
    </w:p>
    <w:p w14:paraId="28FC9ECC">
      <w:pPr>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spacing w:val="0"/>
          <w:sz w:val="20"/>
          <w:lang w:val="en-US"/>
        </w:rPr>
      </w:pPr>
      <w:r>
        <w:rPr>
          <w:spacing w:val="0"/>
          <w:sz w:val="20"/>
          <w:lang w:val="en-US"/>
        </w:rPr>
        <w:object>
          <v:shape id="_x0000_i1047" o:spt="75" type="#_x0000_t75" style="height:110.5pt;width:213.5pt;" o:ole="t" filled="f" o:preferrelative="t" stroked="f" coordsize="21600,21600">
            <v:path/>
            <v:fill on="f" focussize="0,0"/>
            <v:stroke on="f"/>
            <v:imagedata r:id="rId60" o:title=""/>
            <o:lock v:ext="edit" aspectratio="f"/>
            <w10:wrap type="none"/>
            <w10:anchorlock/>
          </v:shape>
          <o:OLEObject Type="Embed" ProgID="Visio.Drawing.15" ShapeID="_x0000_i1047" DrawAspect="Content" ObjectID="_1468075747" r:id="rId59">
            <o:LockedField>false</o:LockedField>
          </o:OLEObject>
        </w:object>
      </w:r>
    </w:p>
    <w:p w14:paraId="6542C755">
      <w:pPr>
        <w:pStyle w:val="4"/>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i/>
          <w:spacing w:val="0"/>
          <w:sz w:val="16"/>
          <w:szCs w:val="16"/>
          <w:lang w:val="en-US" w:eastAsia="zh-CN"/>
        </w:rPr>
      </w:pPr>
      <w:r>
        <w:rPr>
          <w:rFonts w:hint="default"/>
          <w:i/>
          <w:spacing w:val="0"/>
          <w:sz w:val="16"/>
          <w:szCs w:val="16"/>
          <w:lang w:val="en-US" w:eastAsia="zh-CN"/>
        </w:rPr>
        <w:t>(b) Equivalent Reactance</w:t>
      </w:r>
    </w:p>
    <w:p w14:paraId="6E23B1A2">
      <w:pPr>
        <w:pStyle w:val="4"/>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default"/>
          <w:i/>
          <w:spacing w:val="0"/>
          <w:sz w:val="16"/>
          <w:szCs w:val="16"/>
          <w:lang w:val="en-US" w:eastAsia="zh-CN"/>
        </w:rPr>
      </w:pPr>
      <w:r>
        <w:rPr>
          <w:rFonts w:hint="eastAsia"/>
          <w:spacing w:val="2"/>
          <w:lang w:val="en-US" w:eastAsia="zh-CN"/>
        </w:rPr>
        <w:object>
          <v:shape id="_x0000_i1048" o:spt="75" type="#_x0000_t75" style="height:109pt;width:213.5pt;" o:ole="t" filled="f" o:preferrelative="t" stroked="f" coordsize="21600,21600">
            <v:path/>
            <v:fill on="f" focussize="0,0"/>
            <v:stroke on="f"/>
            <v:imagedata r:id="rId62" o:title=""/>
            <o:lock v:ext="edit" aspectratio="f"/>
            <w10:wrap type="none"/>
            <w10:anchorlock/>
          </v:shape>
          <o:OLEObject Type="Embed" ProgID="Visio.Drawing.15" ShapeID="_x0000_i1048" DrawAspect="Content" ObjectID="_1468075748" r:id="rId61">
            <o:LockedField>false</o:LockedField>
          </o:OLEObject>
        </w:object>
      </w:r>
    </w:p>
    <w:p w14:paraId="532C2390">
      <w:pPr>
        <w:pStyle w:val="4"/>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i/>
          <w:spacing w:val="0"/>
          <w:sz w:val="16"/>
          <w:szCs w:val="16"/>
          <w:lang w:val="en-US" w:eastAsia="zh-CN"/>
        </w:rPr>
      </w:pPr>
      <w:r>
        <w:rPr>
          <w:rFonts w:hint="default"/>
          <w:i/>
          <w:spacing w:val="0"/>
          <w:sz w:val="16"/>
          <w:szCs w:val="16"/>
          <w:lang w:val="en-US" w:eastAsia="zh-CN"/>
        </w:rPr>
        <w:t>(c) Line Voltage</w:t>
      </w:r>
    </w:p>
    <w:p w14:paraId="1C3338BD">
      <w:pPr>
        <w:pStyle w:val="4"/>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default"/>
          <w:i/>
          <w:spacing w:val="0"/>
          <w:sz w:val="16"/>
          <w:szCs w:val="16"/>
          <w:lang w:val="en-US" w:eastAsia="zh-CN"/>
        </w:rPr>
      </w:pPr>
      <w:r>
        <w:rPr>
          <w:rFonts w:hint="eastAsia"/>
          <w:spacing w:val="2"/>
          <w:lang w:val="en-US" w:eastAsia="zh-CN"/>
        </w:rPr>
        <w:object>
          <v:shape id="_x0000_i1049" o:spt="75" type="#_x0000_t75" style="height:110.5pt;width:213.5pt;" o:ole="t" filled="f" o:preferrelative="t" stroked="f" coordsize="21600,21600">
            <v:path/>
            <v:fill on="f" focussize="0,0"/>
            <v:stroke on="f"/>
            <v:imagedata r:id="rId64" o:title=""/>
            <o:lock v:ext="edit" aspectratio="f"/>
            <w10:wrap type="none"/>
            <w10:anchorlock/>
          </v:shape>
          <o:OLEObject Type="Embed" ProgID="Visio.Drawing.15" ShapeID="_x0000_i1049" DrawAspect="Content" ObjectID="_1468075749" r:id="rId63">
            <o:LockedField>false</o:LockedField>
          </o:OLEObject>
        </w:object>
      </w:r>
    </w:p>
    <w:p w14:paraId="2BFE8FC4">
      <w:pPr>
        <w:pStyle w:val="4"/>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i/>
          <w:spacing w:val="0"/>
          <w:sz w:val="16"/>
          <w:szCs w:val="16"/>
          <w:lang w:val="en-US" w:eastAsia="zh-CN"/>
        </w:rPr>
      </w:pPr>
      <w:r>
        <w:rPr>
          <w:rFonts w:hint="default"/>
          <w:i/>
          <w:spacing w:val="0"/>
          <w:sz w:val="16"/>
          <w:szCs w:val="16"/>
          <w:lang w:val="en-US" w:eastAsia="zh-CN"/>
        </w:rPr>
        <w:t>(d) Voltage Phase</w:t>
      </w:r>
    </w:p>
    <w:p w14:paraId="45FA041D">
      <w:pPr>
        <w:pStyle w:val="50"/>
        <w:ind w:firstLine="0" w:firstLineChars="0"/>
        <w:jc w:val="left"/>
        <w:rPr>
          <w:spacing w:val="0"/>
          <w:sz w:val="20"/>
          <w:lang w:val="en-US"/>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bCs/>
          <w:i w:val="0"/>
          <w:iCs/>
          <w:spacing w:val="0"/>
          <w:sz w:val="18"/>
          <w:szCs w:val="18"/>
          <w:lang w:val="en-US" w:eastAsia="zh-CN"/>
        </w:rPr>
        <w:t>7</w:t>
      </w:r>
      <w:r>
        <w:rPr>
          <w:rFonts w:hint="eastAsia"/>
          <w:b/>
          <w:i w:val="0"/>
          <w:iCs/>
          <w:spacing w:val="0"/>
          <w:sz w:val="18"/>
          <w:szCs w:val="18"/>
          <w:lang w:val="en-US" w:eastAsia="zh-CN"/>
        </w:rPr>
        <w:t xml:space="preserve"> </w:t>
      </w:r>
      <w:r>
        <w:rPr>
          <w:sz w:val="18"/>
          <w:szCs w:val="18"/>
        </w:rPr>
        <w:t xml:space="preserve"> </w:t>
      </w:r>
      <w:r>
        <w:rPr>
          <w:spacing w:val="0"/>
          <w:sz w:val="20"/>
          <w:lang w:val="en-US"/>
        </w:rPr>
        <w:t xml:space="preserve">Characteristics of the external system's equivalent model </w:t>
      </w:r>
      <w:r>
        <w:rPr>
          <w:rFonts w:hint="eastAsia"/>
          <w:sz w:val="18"/>
          <w:szCs w:val="18"/>
          <w:lang w:val="en-US"/>
        </w:rPr>
        <w:t xml:space="preserve">under </w:t>
      </w:r>
      <w:r>
        <w:rPr>
          <w:spacing w:val="0"/>
          <w:sz w:val="20"/>
          <w:lang w:val="en-US"/>
        </w:rPr>
        <w:t>different source-load fluctuations</w:t>
      </w:r>
    </w:p>
    <w:p w14:paraId="4953DCBF">
      <w:pPr>
        <w:pStyle w:val="50"/>
        <w:ind w:firstLine="0" w:firstLineChars="0"/>
        <w:jc w:val="left"/>
      </w:pPr>
      <w:r>
        <w:rPr>
          <w:rFonts w:hint="eastAsia"/>
          <w:b/>
          <w:i w:val="0"/>
          <w:iCs/>
          <w:spacing w:val="0"/>
          <w:sz w:val="18"/>
          <w:szCs w:val="18"/>
          <w:lang w:val="en-US" w:eastAsia="zh-CN"/>
        </w:rPr>
        <w:t>TABLE</w:t>
      </w:r>
      <w:r>
        <w:rPr>
          <w:b/>
          <w:bCs/>
          <w:i w:val="0"/>
          <w:iCs/>
          <w:spacing w:val="0"/>
          <w:sz w:val="18"/>
          <w:szCs w:val="18"/>
          <w:lang w:val="en-US"/>
        </w:rPr>
        <w:t xml:space="preserve"> </w:t>
      </w:r>
      <w:r>
        <w:rPr>
          <w:rFonts w:hint="eastAsia"/>
          <w:b/>
          <w:i w:val="0"/>
          <w:iCs/>
          <w:spacing w:val="0"/>
          <w:sz w:val="18"/>
          <w:szCs w:val="18"/>
          <w:lang w:val="en-US" w:eastAsia="zh-CN"/>
        </w:rPr>
        <w:t>2</w:t>
      </w:r>
      <w:r>
        <w:t xml:space="preserve">  </w:t>
      </w:r>
      <w:r>
        <w:rPr>
          <w:rFonts w:hint="eastAsia"/>
          <w:spacing w:val="0"/>
          <w:sz w:val="20"/>
          <w:lang w:val="en-US"/>
        </w:rPr>
        <w:t xml:space="preserve">Equivalent </w:t>
      </w:r>
      <w:r>
        <w:rPr>
          <w:rFonts w:hint="eastAsia"/>
          <w:lang w:val="en-US" w:eastAsia="zh-CN"/>
        </w:rPr>
        <w:t>m</w:t>
      </w:r>
      <w:r>
        <w:rPr>
          <w:rFonts w:hint="eastAsia"/>
        </w:rPr>
        <w:t xml:space="preserve">odel </w:t>
      </w:r>
      <w:r>
        <w:rPr>
          <w:rFonts w:hint="eastAsia"/>
          <w:lang w:val="en-US" w:eastAsia="zh-CN"/>
        </w:rPr>
        <w:t>c</w:t>
      </w:r>
      <w:r>
        <w:rPr>
          <w:rFonts w:hint="eastAsia"/>
        </w:rPr>
        <w:t xml:space="preserve">alculation </w:t>
      </w:r>
      <w:r>
        <w:rPr>
          <w:rFonts w:hint="eastAsia"/>
          <w:lang w:val="en-US" w:eastAsia="zh-CN"/>
        </w:rPr>
        <w:t>r</w:t>
      </w:r>
      <w:r>
        <w:rPr>
          <w:rFonts w:hint="eastAsia"/>
        </w:rPr>
        <w:t xml:space="preserve">esults under </w:t>
      </w:r>
      <w:r>
        <w:rPr>
          <w:rFonts w:hint="eastAsia"/>
          <w:lang w:val="en-US" w:eastAsia="zh-CN"/>
        </w:rPr>
        <w:t>d</w:t>
      </w:r>
      <w:r>
        <w:rPr>
          <w:rFonts w:hint="eastAsia"/>
        </w:rPr>
        <w:t xml:space="preserve">ifferent </w:t>
      </w:r>
      <w:r>
        <w:rPr>
          <w:rFonts w:hint="eastAsia"/>
          <w:lang w:val="en-US" w:eastAsia="zh-CN"/>
        </w:rPr>
        <w:t>d</w:t>
      </w:r>
      <w:r>
        <w:rPr>
          <w:rFonts w:hint="eastAsia"/>
        </w:rPr>
        <w:t xml:space="preserve">isturbance </w:t>
      </w:r>
      <w:r>
        <w:rPr>
          <w:rFonts w:hint="eastAsia"/>
          <w:lang w:val="en-US" w:eastAsia="zh-CN"/>
        </w:rPr>
        <w:t>s</w:t>
      </w:r>
      <w:r>
        <w:rPr>
          <w:rFonts w:hint="eastAsia"/>
        </w:rPr>
        <w:t>cenarios</w:t>
      </w:r>
    </w:p>
    <w:tbl>
      <w:tblPr>
        <w:tblStyle w:val="24"/>
        <w:tblW w:w="4856" w:type="pct"/>
        <w:jc w:val="center"/>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Layout w:type="autofit"/>
        <w:tblCellMar>
          <w:top w:w="0" w:type="dxa"/>
          <w:left w:w="108" w:type="dxa"/>
          <w:bottom w:w="0" w:type="dxa"/>
          <w:right w:w="108" w:type="dxa"/>
        </w:tblCellMar>
      </w:tblPr>
      <w:tblGrid>
        <w:gridCol w:w="1127"/>
        <w:gridCol w:w="584"/>
        <w:gridCol w:w="584"/>
        <w:gridCol w:w="642"/>
        <w:gridCol w:w="584"/>
        <w:gridCol w:w="584"/>
        <w:gridCol w:w="642"/>
      </w:tblGrid>
      <w:tr w14:paraId="695EF5BA">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151" w:hRule="atLeast"/>
          <w:jc w:val="center"/>
        </w:trPr>
        <w:tc>
          <w:tcPr>
            <w:tcW w:w="1188" w:type="pct"/>
            <w:vMerge w:val="restart"/>
            <w:shd w:val="clear" w:color="auto" w:fill="FFFFFF"/>
            <w:vAlign w:val="center"/>
          </w:tcPr>
          <w:p w14:paraId="6B88BCE0">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lang w:val="en-US" w:eastAsia="zh-CN"/>
              </w:rPr>
              <w:t>Parameter</w:t>
            </w:r>
          </w:p>
        </w:tc>
        <w:tc>
          <w:tcPr>
            <w:tcW w:w="1905" w:type="pct"/>
            <w:gridSpan w:val="3"/>
            <w:tcBorders>
              <w:bottom w:val="nil"/>
            </w:tcBorders>
            <w:shd w:val="clear" w:color="auto" w:fill="FFFFFF"/>
            <w:vAlign w:val="center"/>
          </w:tcPr>
          <w:p w14:paraId="0857DF7E">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lang w:val="en-US" w:eastAsia="zh-CN"/>
              </w:rPr>
              <w:t>PV fluctuation</w:t>
            </w:r>
          </w:p>
        </w:tc>
        <w:tc>
          <w:tcPr>
            <w:tcW w:w="1905" w:type="pct"/>
            <w:gridSpan w:val="3"/>
            <w:tcBorders>
              <w:bottom w:val="nil"/>
            </w:tcBorders>
            <w:shd w:val="clear" w:color="auto" w:fill="FFFFFF"/>
          </w:tcPr>
          <w:p w14:paraId="7AA9C822">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cs="Times New Roman"/>
                <w:iCs/>
                <w:lang w:val="en-US" w:eastAsia="zh-CN"/>
              </w:rPr>
            </w:pPr>
            <w:r>
              <w:rPr>
                <w:rFonts w:hint="eastAsia" w:cs="Times New Roman"/>
                <w:iCs/>
                <w:lang w:val="en-US" w:eastAsia="zh-CN"/>
              </w:rPr>
              <w:t>Load distribution</w:t>
            </w:r>
          </w:p>
        </w:tc>
      </w:tr>
      <w:tr w14:paraId="386815F3">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151" w:hRule="atLeast"/>
          <w:jc w:val="center"/>
        </w:trPr>
        <w:tc>
          <w:tcPr>
            <w:tcW w:w="1188" w:type="pct"/>
            <w:vMerge w:val="continue"/>
            <w:tcBorders>
              <w:bottom w:val="single" w:color="auto" w:sz="4" w:space="0"/>
            </w:tcBorders>
            <w:shd w:val="clear" w:color="auto" w:fill="FFFFFF"/>
            <w:vAlign w:val="center"/>
          </w:tcPr>
          <w:p w14:paraId="62839D99">
            <w:pPr>
              <w:pStyle w:val="77"/>
              <w:keepNext w:val="0"/>
              <w:keepLines w:val="0"/>
              <w:pageBreakBefore w:val="0"/>
              <w:widowControl w:val="0"/>
              <w:kinsoku/>
              <w:wordWrap/>
              <w:overflowPunct/>
              <w:topLinePunct w:val="0"/>
              <w:autoSpaceDE/>
              <w:autoSpaceDN/>
              <w:bidi w:val="0"/>
              <w:adjustRightInd/>
              <w:snapToGrid/>
              <w:ind w:firstLine="0" w:firstLineChars="0"/>
              <w:textAlignment w:val="auto"/>
            </w:pPr>
          </w:p>
        </w:tc>
        <w:tc>
          <w:tcPr>
            <w:tcW w:w="614" w:type="pct"/>
            <w:tcBorders>
              <w:top w:val="nil"/>
              <w:bottom w:val="single" w:color="auto" w:sz="4" w:space="0"/>
            </w:tcBorders>
            <w:shd w:val="clear" w:color="auto" w:fill="FFFFFF"/>
            <w:vAlign w:val="center"/>
          </w:tcPr>
          <w:p w14:paraId="60F31821">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cs="Times New Roman"/>
                <w:lang w:val="en-US" w:eastAsia="zh-CN"/>
              </w:rPr>
            </w:pPr>
            <w:r>
              <w:rPr>
                <w:rFonts w:hint="eastAsia" w:cs="Times New Roman"/>
                <w:lang w:val="en-US" w:eastAsia="zh-CN"/>
              </w:rPr>
              <w:t>C1</w:t>
            </w:r>
          </w:p>
        </w:tc>
        <w:tc>
          <w:tcPr>
            <w:tcW w:w="614" w:type="pct"/>
            <w:tcBorders>
              <w:top w:val="nil"/>
              <w:bottom w:val="single" w:color="auto" w:sz="4" w:space="0"/>
            </w:tcBorders>
            <w:shd w:val="clear" w:color="auto" w:fill="FFFFFF"/>
            <w:vAlign w:val="center"/>
          </w:tcPr>
          <w:p w14:paraId="347203C6">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cs="Times New Roman"/>
                <w:lang w:val="en-US" w:eastAsia="zh-CN"/>
              </w:rPr>
            </w:pPr>
            <w:r>
              <w:rPr>
                <w:rFonts w:hint="eastAsia" w:cs="Times New Roman"/>
                <w:lang w:val="en-US" w:eastAsia="zh-CN"/>
              </w:rPr>
              <w:t>C2</w:t>
            </w:r>
          </w:p>
        </w:tc>
        <w:tc>
          <w:tcPr>
            <w:tcW w:w="675" w:type="pct"/>
            <w:tcBorders>
              <w:top w:val="nil"/>
              <w:bottom w:val="single" w:color="auto" w:sz="4" w:space="0"/>
            </w:tcBorders>
            <w:shd w:val="clear" w:color="auto" w:fill="FFFFFF"/>
            <w:vAlign w:val="center"/>
          </w:tcPr>
          <w:p w14:paraId="61314469">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cs="Times New Roman"/>
                <w:lang w:val="en-US" w:eastAsia="zh-CN"/>
              </w:rPr>
            </w:pPr>
            <w:r>
              <w:rPr>
                <w:rFonts w:hint="eastAsia" w:cs="Times New Roman"/>
                <w:lang w:val="en-US" w:eastAsia="zh-CN"/>
              </w:rPr>
              <w:t>C3</w:t>
            </w:r>
          </w:p>
        </w:tc>
        <w:tc>
          <w:tcPr>
            <w:tcW w:w="614" w:type="pct"/>
            <w:tcBorders>
              <w:top w:val="nil"/>
              <w:bottom w:val="single" w:color="auto" w:sz="4" w:space="0"/>
            </w:tcBorders>
            <w:shd w:val="clear" w:color="auto" w:fill="FFFFFF"/>
            <w:vAlign w:val="center"/>
          </w:tcPr>
          <w:p w14:paraId="026046EF">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cs="Times New Roman"/>
                <w:lang w:val="en-US" w:eastAsia="zh-CN"/>
              </w:rPr>
            </w:pPr>
            <w:r>
              <w:rPr>
                <w:rFonts w:hint="eastAsia" w:cs="Times New Roman"/>
                <w:lang w:val="en-US" w:eastAsia="zh-CN"/>
              </w:rPr>
              <w:t>C1</w:t>
            </w:r>
          </w:p>
        </w:tc>
        <w:tc>
          <w:tcPr>
            <w:tcW w:w="614" w:type="pct"/>
            <w:tcBorders>
              <w:top w:val="nil"/>
              <w:bottom w:val="single" w:color="auto" w:sz="4" w:space="0"/>
            </w:tcBorders>
            <w:shd w:val="clear" w:color="auto" w:fill="FFFFFF"/>
            <w:vAlign w:val="center"/>
          </w:tcPr>
          <w:p w14:paraId="3AAF571B">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cs="Times New Roman"/>
                <w:lang w:val="en-US" w:eastAsia="zh-CN"/>
              </w:rPr>
            </w:pPr>
            <w:r>
              <w:rPr>
                <w:rFonts w:hint="eastAsia" w:cs="Times New Roman"/>
                <w:lang w:val="en-US" w:eastAsia="zh-CN"/>
              </w:rPr>
              <w:t>C2</w:t>
            </w:r>
          </w:p>
        </w:tc>
        <w:tc>
          <w:tcPr>
            <w:tcW w:w="676" w:type="pct"/>
            <w:tcBorders>
              <w:top w:val="nil"/>
              <w:bottom w:val="single" w:color="auto" w:sz="4" w:space="0"/>
            </w:tcBorders>
            <w:shd w:val="clear" w:color="auto" w:fill="FFFFFF"/>
            <w:vAlign w:val="center"/>
          </w:tcPr>
          <w:p w14:paraId="680B6989">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cs="Times New Roman"/>
                <w:lang w:val="en-US" w:eastAsia="zh-CN"/>
              </w:rPr>
            </w:pPr>
            <w:r>
              <w:rPr>
                <w:rFonts w:hint="eastAsia" w:cs="Times New Roman"/>
                <w:lang w:val="en-US" w:eastAsia="zh-CN"/>
              </w:rPr>
              <w:t>C3</w:t>
            </w:r>
          </w:p>
        </w:tc>
      </w:tr>
      <w:tr w14:paraId="4491A5E8">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9" w:hRule="atLeast"/>
          <w:jc w:val="center"/>
        </w:trPr>
        <w:tc>
          <w:tcPr>
            <w:tcW w:w="1188" w:type="pct"/>
            <w:tcBorders>
              <w:top w:val="single" w:color="auto" w:sz="4" w:space="0"/>
              <w:bottom w:val="nil"/>
            </w:tcBorders>
            <w:shd w:val="clear" w:color="auto" w:fill="FFFFFF"/>
            <w:vAlign w:val="center"/>
          </w:tcPr>
          <w:p w14:paraId="666502BD">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lang w:val="en-US" w:eastAsia="zh-CN"/>
              </w:rPr>
              <w:t>Resistance/</w:t>
            </w:r>
            <w:r>
              <w:rPr>
                <w:rFonts w:hint="default" w:ascii="Times New Roman" w:hAnsi="Times New Roman" w:cs="Times New Roman"/>
                <w:lang w:val="en-US" w:eastAsia="zh-CN"/>
              </w:rPr>
              <w:t>Ω</w:t>
            </w:r>
          </w:p>
        </w:tc>
        <w:tc>
          <w:tcPr>
            <w:tcW w:w="614" w:type="pct"/>
            <w:tcBorders>
              <w:top w:val="single" w:color="auto" w:sz="4" w:space="0"/>
              <w:bottom w:val="nil"/>
            </w:tcBorders>
            <w:shd w:val="clear" w:color="auto" w:fill="FFFFFF"/>
            <w:vAlign w:val="center"/>
          </w:tcPr>
          <w:p w14:paraId="49386EC6">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spacing w:val="6"/>
                <w:kern w:val="20"/>
                <w:sz w:val="15"/>
                <w:szCs w:val="24"/>
                <w:lang w:val="en-US" w:eastAsia="zh-CN" w:bidi="ar-SA"/>
              </w:rPr>
              <w:t>3.35</w:t>
            </w:r>
          </w:p>
        </w:tc>
        <w:tc>
          <w:tcPr>
            <w:tcW w:w="614" w:type="pct"/>
            <w:tcBorders>
              <w:top w:val="single" w:color="auto" w:sz="4" w:space="0"/>
              <w:bottom w:val="nil"/>
            </w:tcBorders>
            <w:shd w:val="clear" w:color="auto" w:fill="FFFFFF"/>
            <w:vAlign w:val="center"/>
          </w:tcPr>
          <w:p w14:paraId="1B7AE3BE">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spacing w:val="6"/>
                <w:kern w:val="20"/>
                <w:sz w:val="15"/>
                <w:szCs w:val="24"/>
                <w:lang w:val="en-US" w:eastAsia="zh-CN" w:bidi="ar-SA"/>
              </w:rPr>
              <w:t>3.30</w:t>
            </w:r>
          </w:p>
        </w:tc>
        <w:tc>
          <w:tcPr>
            <w:tcW w:w="675" w:type="pct"/>
            <w:tcBorders>
              <w:top w:val="single" w:color="auto" w:sz="4" w:space="0"/>
              <w:bottom w:val="nil"/>
            </w:tcBorders>
            <w:shd w:val="clear" w:color="auto" w:fill="FFFFFF"/>
            <w:vAlign w:val="center"/>
          </w:tcPr>
          <w:p w14:paraId="54899BAC">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spacing w:val="6"/>
                <w:kern w:val="20"/>
                <w:sz w:val="15"/>
                <w:szCs w:val="24"/>
                <w:lang w:val="en-US" w:eastAsia="zh-CN" w:bidi="ar-SA"/>
              </w:rPr>
              <w:t>2.91</w:t>
            </w:r>
          </w:p>
        </w:tc>
        <w:tc>
          <w:tcPr>
            <w:tcW w:w="614" w:type="pct"/>
            <w:tcBorders>
              <w:top w:val="single" w:color="auto" w:sz="4" w:space="0"/>
              <w:bottom w:val="nil"/>
            </w:tcBorders>
            <w:shd w:val="clear" w:color="auto" w:fill="FFFFFF"/>
            <w:vAlign w:val="center"/>
          </w:tcPr>
          <w:p w14:paraId="0CF9F312">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iCs/>
                <w:spacing w:val="6"/>
                <w:kern w:val="20"/>
                <w:sz w:val="15"/>
                <w:szCs w:val="24"/>
                <w:lang w:val="en-US" w:eastAsia="zh-CN" w:bidi="ar-SA"/>
              </w:rPr>
            </w:pPr>
            <w:r>
              <w:rPr>
                <w:rFonts w:hint="eastAsia" w:cs="Times New Roman"/>
                <w:iCs/>
                <w:spacing w:val="6"/>
                <w:kern w:val="20"/>
                <w:sz w:val="15"/>
                <w:szCs w:val="24"/>
                <w:lang w:val="en-US" w:eastAsia="zh-CN" w:bidi="ar-SA"/>
              </w:rPr>
              <w:t>3.33</w:t>
            </w:r>
          </w:p>
        </w:tc>
        <w:tc>
          <w:tcPr>
            <w:tcW w:w="614" w:type="pct"/>
            <w:tcBorders>
              <w:top w:val="single" w:color="auto" w:sz="4" w:space="0"/>
              <w:bottom w:val="nil"/>
            </w:tcBorders>
            <w:shd w:val="clear" w:color="auto" w:fill="FFFFFF"/>
            <w:vAlign w:val="center"/>
          </w:tcPr>
          <w:p w14:paraId="1D174EA6">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iCs/>
                <w:spacing w:val="6"/>
                <w:kern w:val="20"/>
                <w:sz w:val="15"/>
                <w:szCs w:val="24"/>
                <w:lang w:val="en-US" w:eastAsia="zh-CN" w:bidi="ar-SA"/>
              </w:rPr>
            </w:pPr>
            <w:r>
              <w:rPr>
                <w:rFonts w:hint="eastAsia" w:cs="Times New Roman"/>
                <w:iCs/>
                <w:spacing w:val="6"/>
                <w:kern w:val="20"/>
                <w:sz w:val="15"/>
                <w:szCs w:val="24"/>
                <w:lang w:val="en-US" w:eastAsia="zh-CN" w:bidi="ar-SA"/>
              </w:rPr>
              <w:t>3.32</w:t>
            </w:r>
          </w:p>
        </w:tc>
        <w:tc>
          <w:tcPr>
            <w:tcW w:w="676" w:type="pct"/>
            <w:tcBorders>
              <w:top w:val="single" w:color="auto" w:sz="4" w:space="0"/>
              <w:bottom w:val="nil"/>
            </w:tcBorders>
            <w:shd w:val="clear" w:color="auto" w:fill="FFFFFF"/>
            <w:vAlign w:val="center"/>
          </w:tcPr>
          <w:p w14:paraId="53AA6116">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iCs/>
                <w:spacing w:val="6"/>
                <w:kern w:val="20"/>
                <w:sz w:val="15"/>
                <w:szCs w:val="24"/>
                <w:lang w:val="en-US" w:eastAsia="zh-CN" w:bidi="ar-SA"/>
              </w:rPr>
            </w:pPr>
            <w:r>
              <w:rPr>
                <w:rFonts w:hint="eastAsia" w:cs="Times New Roman"/>
                <w:iCs/>
                <w:spacing w:val="6"/>
                <w:kern w:val="20"/>
                <w:sz w:val="15"/>
                <w:szCs w:val="24"/>
                <w:lang w:val="en-US" w:eastAsia="zh-CN" w:bidi="ar-SA"/>
              </w:rPr>
              <w:t>2.89</w:t>
            </w:r>
          </w:p>
        </w:tc>
      </w:tr>
      <w:tr w14:paraId="4887C2D0">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2" w:hRule="atLeast"/>
          <w:jc w:val="center"/>
        </w:trPr>
        <w:tc>
          <w:tcPr>
            <w:tcW w:w="1188" w:type="pct"/>
            <w:tcBorders>
              <w:top w:val="nil"/>
              <w:bottom w:val="nil"/>
            </w:tcBorders>
            <w:shd w:val="clear" w:color="auto" w:fill="FFFFFF"/>
            <w:vAlign w:val="center"/>
          </w:tcPr>
          <w:p w14:paraId="0F29C413">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lang w:val="en-US" w:eastAsia="zh-CN"/>
              </w:rPr>
              <w:t>Reactance/</w:t>
            </w:r>
            <w:r>
              <w:rPr>
                <w:rFonts w:hint="default" w:ascii="Times New Roman" w:hAnsi="Times New Roman" w:cs="Times New Roman"/>
                <w:lang w:val="en-US" w:eastAsia="zh-CN"/>
              </w:rPr>
              <w:t>Ω</w:t>
            </w:r>
          </w:p>
        </w:tc>
        <w:tc>
          <w:tcPr>
            <w:tcW w:w="614" w:type="pct"/>
            <w:tcBorders>
              <w:top w:val="nil"/>
              <w:bottom w:val="nil"/>
            </w:tcBorders>
            <w:shd w:val="clear" w:color="auto" w:fill="FFFFFF"/>
            <w:vAlign w:val="center"/>
          </w:tcPr>
          <w:p w14:paraId="72337583">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3.19</w:t>
            </w:r>
          </w:p>
        </w:tc>
        <w:tc>
          <w:tcPr>
            <w:tcW w:w="614" w:type="pct"/>
            <w:tcBorders>
              <w:top w:val="nil"/>
              <w:bottom w:val="nil"/>
            </w:tcBorders>
            <w:shd w:val="clear" w:color="auto" w:fill="FFFFFF"/>
            <w:vAlign w:val="center"/>
          </w:tcPr>
          <w:p w14:paraId="0C5103F5">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3.21</w:t>
            </w:r>
          </w:p>
        </w:tc>
        <w:tc>
          <w:tcPr>
            <w:tcW w:w="675" w:type="pct"/>
            <w:tcBorders>
              <w:top w:val="nil"/>
              <w:bottom w:val="nil"/>
            </w:tcBorders>
            <w:shd w:val="clear" w:color="auto" w:fill="FFFFFF"/>
            <w:vAlign w:val="center"/>
          </w:tcPr>
          <w:p w14:paraId="6781EC23">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2.40</w:t>
            </w:r>
          </w:p>
        </w:tc>
        <w:tc>
          <w:tcPr>
            <w:tcW w:w="614" w:type="pct"/>
            <w:tcBorders>
              <w:top w:val="nil"/>
              <w:bottom w:val="nil"/>
            </w:tcBorders>
            <w:shd w:val="clear" w:color="auto" w:fill="FFFFFF"/>
            <w:vAlign w:val="center"/>
          </w:tcPr>
          <w:p w14:paraId="4EB56C9A">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3.16</w:t>
            </w:r>
          </w:p>
        </w:tc>
        <w:tc>
          <w:tcPr>
            <w:tcW w:w="614" w:type="pct"/>
            <w:tcBorders>
              <w:top w:val="nil"/>
              <w:bottom w:val="nil"/>
            </w:tcBorders>
            <w:shd w:val="clear" w:color="auto" w:fill="FFFFFF"/>
            <w:vAlign w:val="center"/>
          </w:tcPr>
          <w:p w14:paraId="09B7CD2B">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3.17</w:t>
            </w:r>
          </w:p>
        </w:tc>
        <w:tc>
          <w:tcPr>
            <w:tcW w:w="676" w:type="pct"/>
            <w:tcBorders>
              <w:top w:val="nil"/>
              <w:bottom w:val="nil"/>
            </w:tcBorders>
            <w:shd w:val="clear" w:color="auto" w:fill="FFFFFF"/>
            <w:vAlign w:val="center"/>
          </w:tcPr>
          <w:p w14:paraId="578850F4">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2.43</w:t>
            </w:r>
          </w:p>
        </w:tc>
      </w:tr>
      <w:tr w14:paraId="03449ACF">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2" w:hRule="atLeast"/>
          <w:jc w:val="center"/>
        </w:trPr>
        <w:tc>
          <w:tcPr>
            <w:tcW w:w="1188" w:type="pct"/>
            <w:tcBorders>
              <w:top w:val="nil"/>
              <w:bottom w:val="nil"/>
            </w:tcBorders>
            <w:shd w:val="clear" w:color="auto" w:fill="FFFFFF"/>
            <w:vAlign w:val="center"/>
          </w:tcPr>
          <w:p w14:paraId="3A2E8B73">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lang w:val="en-US" w:eastAsia="zh-CN"/>
              </w:rPr>
              <w:t>Voltage/kV</w:t>
            </w:r>
          </w:p>
        </w:tc>
        <w:tc>
          <w:tcPr>
            <w:tcW w:w="614" w:type="pct"/>
            <w:tcBorders>
              <w:top w:val="nil"/>
              <w:bottom w:val="nil"/>
            </w:tcBorders>
            <w:shd w:val="clear" w:color="auto" w:fill="FFFFFF"/>
            <w:vAlign w:val="center"/>
          </w:tcPr>
          <w:p w14:paraId="5418F1B1">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33.98</w:t>
            </w:r>
          </w:p>
        </w:tc>
        <w:tc>
          <w:tcPr>
            <w:tcW w:w="614" w:type="pct"/>
            <w:tcBorders>
              <w:top w:val="nil"/>
              <w:bottom w:val="nil"/>
            </w:tcBorders>
            <w:shd w:val="clear" w:color="auto" w:fill="FFFFFF"/>
            <w:vAlign w:val="center"/>
          </w:tcPr>
          <w:p w14:paraId="422001FB">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33.97</w:t>
            </w:r>
          </w:p>
        </w:tc>
        <w:tc>
          <w:tcPr>
            <w:tcW w:w="675" w:type="pct"/>
            <w:tcBorders>
              <w:top w:val="nil"/>
              <w:bottom w:val="nil"/>
            </w:tcBorders>
            <w:shd w:val="clear" w:color="auto" w:fill="FFFFFF"/>
            <w:vAlign w:val="center"/>
          </w:tcPr>
          <w:p w14:paraId="71866DAD">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23.95</w:t>
            </w:r>
          </w:p>
        </w:tc>
        <w:tc>
          <w:tcPr>
            <w:tcW w:w="614" w:type="pct"/>
            <w:tcBorders>
              <w:top w:val="nil"/>
              <w:bottom w:val="nil"/>
            </w:tcBorders>
            <w:shd w:val="clear" w:color="auto" w:fill="FFFFFF"/>
            <w:vAlign w:val="center"/>
          </w:tcPr>
          <w:p w14:paraId="631F854A">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33.98</w:t>
            </w:r>
          </w:p>
        </w:tc>
        <w:tc>
          <w:tcPr>
            <w:tcW w:w="614" w:type="pct"/>
            <w:tcBorders>
              <w:top w:val="nil"/>
              <w:bottom w:val="nil"/>
            </w:tcBorders>
            <w:shd w:val="clear" w:color="auto" w:fill="FFFFFF"/>
            <w:vAlign w:val="center"/>
          </w:tcPr>
          <w:p w14:paraId="44FD8F73">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33.79</w:t>
            </w:r>
          </w:p>
        </w:tc>
        <w:tc>
          <w:tcPr>
            <w:tcW w:w="676" w:type="pct"/>
            <w:tcBorders>
              <w:top w:val="nil"/>
              <w:bottom w:val="nil"/>
            </w:tcBorders>
            <w:shd w:val="clear" w:color="auto" w:fill="FFFFFF"/>
            <w:vAlign w:val="center"/>
          </w:tcPr>
          <w:p w14:paraId="3F8F6A17">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23.90</w:t>
            </w:r>
          </w:p>
        </w:tc>
      </w:tr>
      <w:tr w14:paraId="60E4A0FB">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9" w:hRule="atLeast"/>
          <w:jc w:val="center"/>
        </w:trPr>
        <w:tc>
          <w:tcPr>
            <w:tcW w:w="1188" w:type="pct"/>
            <w:tcBorders>
              <w:top w:val="nil"/>
              <w:bottom w:val="single" w:color="auto" w:sz="6" w:space="0"/>
            </w:tcBorders>
            <w:shd w:val="clear" w:color="auto" w:fill="FFFFFF"/>
            <w:vAlign w:val="center"/>
          </w:tcPr>
          <w:p w14:paraId="3CCF7DC6">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bCs/>
                <w:lang w:val="en-US" w:eastAsia="zh-CN"/>
              </w:rPr>
            </w:pPr>
            <w:r>
              <w:rPr>
                <w:rFonts w:hint="eastAsia" w:cs="Times New Roman"/>
                <w:bCs/>
                <w:lang w:val="en-US" w:eastAsia="zh-CN"/>
              </w:rPr>
              <w:t>Angle</w:t>
            </w:r>
            <w:r>
              <w:rPr>
                <w:rFonts w:hint="default" w:ascii="Times New Roman" w:hAnsi="Times New Roman" w:cs="Times New Roman"/>
                <w:bCs/>
                <w:lang w:val="en-US" w:eastAsia="zh-CN"/>
              </w:rPr>
              <w:t>/°</w:t>
            </w:r>
          </w:p>
        </w:tc>
        <w:tc>
          <w:tcPr>
            <w:tcW w:w="614" w:type="pct"/>
            <w:tcBorders>
              <w:top w:val="nil"/>
              <w:bottom w:val="single" w:color="auto" w:sz="6" w:space="0"/>
            </w:tcBorders>
            <w:shd w:val="clear" w:color="auto" w:fill="FFFFFF"/>
            <w:vAlign w:val="center"/>
          </w:tcPr>
          <w:p w14:paraId="6027DBBF">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-3.83</w:t>
            </w:r>
          </w:p>
        </w:tc>
        <w:tc>
          <w:tcPr>
            <w:tcW w:w="614" w:type="pct"/>
            <w:tcBorders>
              <w:top w:val="nil"/>
              <w:bottom w:val="single" w:color="auto" w:sz="6" w:space="0"/>
            </w:tcBorders>
            <w:shd w:val="clear" w:color="auto" w:fill="FFFFFF"/>
            <w:vAlign w:val="center"/>
          </w:tcPr>
          <w:p w14:paraId="406907EC">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-3.89</w:t>
            </w:r>
          </w:p>
        </w:tc>
        <w:tc>
          <w:tcPr>
            <w:tcW w:w="675" w:type="pct"/>
            <w:tcBorders>
              <w:top w:val="nil"/>
              <w:bottom w:val="single" w:color="auto" w:sz="6" w:space="0"/>
            </w:tcBorders>
            <w:shd w:val="clear" w:color="auto" w:fill="FFFFFF"/>
            <w:vAlign w:val="center"/>
          </w:tcPr>
          <w:p w14:paraId="5287DE51">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-12.31</w:t>
            </w:r>
          </w:p>
        </w:tc>
        <w:tc>
          <w:tcPr>
            <w:tcW w:w="614" w:type="pct"/>
            <w:tcBorders>
              <w:top w:val="nil"/>
              <w:bottom w:val="single" w:color="auto" w:sz="6" w:space="0"/>
            </w:tcBorders>
            <w:shd w:val="clear" w:color="auto" w:fill="FFFFFF"/>
            <w:vAlign w:val="center"/>
          </w:tcPr>
          <w:p w14:paraId="3B295316">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-3.85</w:t>
            </w:r>
          </w:p>
        </w:tc>
        <w:tc>
          <w:tcPr>
            <w:tcW w:w="614" w:type="pct"/>
            <w:tcBorders>
              <w:top w:val="nil"/>
              <w:bottom w:val="single" w:color="auto" w:sz="6" w:space="0"/>
            </w:tcBorders>
            <w:shd w:val="clear" w:color="auto" w:fill="FFFFFF"/>
            <w:vAlign w:val="center"/>
          </w:tcPr>
          <w:p w14:paraId="379289A7">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-4.06</w:t>
            </w:r>
          </w:p>
        </w:tc>
        <w:tc>
          <w:tcPr>
            <w:tcW w:w="676" w:type="pct"/>
            <w:tcBorders>
              <w:top w:val="nil"/>
              <w:bottom w:val="single" w:color="auto" w:sz="6" w:space="0"/>
            </w:tcBorders>
            <w:shd w:val="clear" w:color="auto" w:fill="FFFFFF"/>
            <w:vAlign w:val="center"/>
          </w:tcPr>
          <w:p w14:paraId="3C9DE7C3">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bCs/>
                <w:lang w:val="en-US" w:eastAsia="zh-CN"/>
              </w:rPr>
            </w:pPr>
            <w:r>
              <w:rPr>
                <w:rFonts w:hint="eastAsia" w:cs="Times New Roman"/>
                <w:bCs/>
                <w:lang w:val="en-US" w:eastAsia="zh-CN"/>
              </w:rPr>
              <w:t>-12.56</w:t>
            </w:r>
          </w:p>
        </w:tc>
      </w:tr>
    </w:tbl>
    <w:p w14:paraId="76A7B0CF">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The simulation results show that when the external system changes, the proposed equivalent modeling method can accurately calculate the equivalent impedance and open-circuit voltage of the external system, verifying the effectiveness of the method under different disturbance conditions. Furthermore, regardless of the disturbance method applied to the internal system, the equivalent modeling results under different conditions exhibit high consistency, demonstrating that the proposed modeling method can maintain accuracy in calculating equivalent impedance and open-circuit voltage under various disturbance scenarios.</w:t>
      </w:r>
    </w:p>
    <w:p w14:paraId="65594F40">
      <w:pPr>
        <w:pStyle w:val="6"/>
        <w:ind w:firstLine="0" w:firstLineChars="0"/>
        <w:rPr>
          <w:rFonts w:hint="eastAsia" w:ascii="Arial" w:hAnsi="Arial" w:cs="Arial"/>
          <w:i/>
          <w:spacing w:val="0"/>
          <w:lang w:val="en-US"/>
        </w:rPr>
      </w:pPr>
      <w:r>
        <w:rPr>
          <w:rFonts w:hint="eastAsia" w:ascii="Arial" w:hAnsi="Arial" w:cs="Arial"/>
          <w:bCs/>
          <w:i/>
          <w:spacing w:val="0"/>
          <w:lang w:val="en-US" w:eastAsia="zh-CN"/>
        </w:rPr>
        <w:t>5</w:t>
      </w:r>
      <w:r>
        <w:rPr>
          <w:rFonts w:ascii="Arial" w:hAnsi="Arial" w:cs="Arial"/>
          <w:bCs/>
          <w:i/>
          <w:spacing w:val="0"/>
        </w:rPr>
        <w:t>.</w:t>
      </w:r>
      <w:r>
        <w:rPr>
          <w:rFonts w:hint="eastAsia" w:ascii="Arial" w:hAnsi="Arial" w:cs="Arial"/>
          <w:bCs/>
          <w:i/>
          <w:spacing w:val="0"/>
          <w:lang w:val="en-US" w:eastAsia="zh-CN"/>
        </w:rPr>
        <w:t>4</w:t>
      </w:r>
      <w:r>
        <w:rPr>
          <w:rFonts w:hint="eastAsia" w:ascii="Arial" w:hAnsi="Arial" w:cs="Arial"/>
          <w:bCs/>
          <w:i/>
          <w:spacing w:val="0"/>
          <w:lang w:eastAsia="zh-CN"/>
        </w:rPr>
        <w:t>.</w:t>
      </w:r>
      <w:r>
        <w:rPr>
          <w:rFonts w:ascii="Arial" w:hAnsi="Arial" w:cs="Arial"/>
          <w:i/>
          <w:spacing w:val="0"/>
        </w:rPr>
        <w:t xml:space="preserve">  </w:t>
      </w:r>
      <w:r>
        <w:rPr>
          <w:rFonts w:hint="eastAsia" w:ascii="Arial" w:hAnsi="Arial" w:cs="Arial"/>
          <w:i/>
          <w:spacing w:val="0"/>
        </w:rPr>
        <w:t xml:space="preserve">Verification of </w:t>
      </w:r>
      <w:r>
        <w:rPr>
          <w:rFonts w:hint="eastAsia" w:ascii="Arial" w:hAnsi="Arial" w:cs="Arial"/>
          <w:i/>
          <w:spacing w:val="0"/>
          <w:lang w:val="en-US" w:eastAsia="zh-CN"/>
        </w:rPr>
        <w:t>l</w:t>
      </w:r>
      <w:r>
        <w:rPr>
          <w:rFonts w:hint="eastAsia" w:ascii="Arial" w:hAnsi="Arial" w:cs="Arial"/>
          <w:i/>
          <w:spacing w:val="0"/>
        </w:rPr>
        <w:t xml:space="preserve">oop </w:t>
      </w:r>
      <w:r>
        <w:rPr>
          <w:rFonts w:hint="eastAsia" w:ascii="Arial" w:hAnsi="Arial" w:cs="Arial"/>
          <w:i/>
          <w:spacing w:val="0"/>
          <w:lang w:val="en-US" w:eastAsia="zh-CN"/>
        </w:rPr>
        <w:t>c</w:t>
      </w:r>
      <w:r>
        <w:rPr>
          <w:rFonts w:hint="eastAsia" w:ascii="Arial" w:hAnsi="Arial" w:cs="Arial"/>
          <w:i/>
          <w:spacing w:val="0"/>
        </w:rPr>
        <w:t xml:space="preserve">losing </w:t>
      </w:r>
      <w:r>
        <w:rPr>
          <w:rFonts w:hint="eastAsia" w:ascii="Arial" w:hAnsi="Arial" w:cs="Arial"/>
          <w:i/>
          <w:spacing w:val="0"/>
          <w:lang w:val="en-US" w:eastAsia="zh-CN"/>
        </w:rPr>
        <w:t>c</w:t>
      </w:r>
      <w:r>
        <w:rPr>
          <w:rFonts w:hint="eastAsia" w:ascii="Arial" w:hAnsi="Arial" w:cs="Arial"/>
          <w:i/>
          <w:spacing w:val="0"/>
        </w:rPr>
        <w:t xml:space="preserve">urrent </w:t>
      </w:r>
      <w:r>
        <w:rPr>
          <w:rFonts w:hint="eastAsia" w:ascii="Arial" w:hAnsi="Arial" w:cs="Arial"/>
          <w:i/>
          <w:spacing w:val="0"/>
          <w:lang w:val="en-US" w:eastAsia="zh-CN"/>
        </w:rPr>
        <w:t>c</w:t>
      </w:r>
      <w:r>
        <w:rPr>
          <w:rFonts w:hint="eastAsia" w:ascii="Arial" w:hAnsi="Arial" w:cs="Arial"/>
          <w:i/>
          <w:spacing w:val="0"/>
        </w:rPr>
        <w:t>alculation</w:t>
      </w:r>
    </w:p>
    <w:p w14:paraId="0457FF69">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This section verifies the accuracy and effectiveness of the loop closing current calculation method. The simulation scenario is set up with distributed PV2 connected to the left side of the loop closing point and load L3 connected to the right side. During the simulation, the left-side external system establishes an equivalent model by simulating the irradiance fluctuation of PV2, where PV2 and the external system form a parallel configuration of two active systems. The right-side external system simulates L3 load power disturbances to establish an equivalent model, represented by a typical voltage source and series equivalent impedance. Based on the equivalent models of the systems on both sides of the loop closing point, the steady-state and impact currents are calculated, as shown in Fig</w:t>
      </w:r>
      <w:r>
        <w:rPr>
          <w:rFonts w:hint="eastAsia"/>
          <w:spacing w:val="0"/>
          <w:sz w:val="20"/>
          <w:lang w:val="en-US" w:eastAsia="zh-CN"/>
        </w:rPr>
        <w:t>ure</w:t>
      </w:r>
      <w:r>
        <w:rPr>
          <w:spacing w:val="0"/>
          <w:sz w:val="20"/>
          <w:lang w:val="en-US"/>
        </w:rPr>
        <w:t xml:space="preserve"> 8, with the simulation data provided in Table 3.</w:t>
      </w:r>
    </w:p>
    <w:p w14:paraId="776DFA44">
      <w:pPr>
        <w:pStyle w:val="4"/>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spacing w:val="0"/>
          <w:sz w:val="20"/>
          <w:lang w:val="en-US"/>
        </w:rPr>
      </w:pPr>
      <w:r>
        <w:rPr>
          <w:rFonts w:hint="eastAsia"/>
          <w:spacing w:val="8"/>
        </w:rPr>
        <w:object>
          <v:shape id="_x0000_i1050" o:spt="75" type="#_x0000_t75" style="height:111.5pt;width:218pt;" o:ole="t" filled="f" o:preferrelative="t" stroked="f" coordsize="21600,21600">
            <v:path/>
            <v:fill on="f" focussize="0,0"/>
            <v:stroke on="f"/>
            <v:imagedata r:id="rId66" o:title=""/>
            <o:lock v:ext="edit" aspectratio="f"/>
            <w10:wrap type="none"/>
            <w10:anchorlock/>
          </v:shape>
          <o:OLEObject Type="Embed" ProgID="Visio.Drawing.15" ShapeID="_x0000_i1050" DrawAspect="Content" ObjectID="_1468075750" r:id="rId65">
            <o:LockedField>false</o:LockedField>
          </o:OLEObject>
        </w:object>
      </w:r>
    </w:p>
    <w:p w14:paraId="31B199BD">
      <w:pPr>
        <w:pStyle w:val="4"/>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i/>
          <w:spacing w:val="0"/>
          <w:sz w:val="16"/>
          <w:szCs w:val="16"/>
          <w:lang w:val="en-US" w:eastAsia="zh-CN"/>
        </w:rPr>
      </w:pPr>
      <w:r>
        <w:rPr>
          <w:rFonts w:hint="default"/>
          <w:i/>
          <w:spacing w:val="0"/>
          <w:sz w:val="16"/>
          <w:szCs w:val="16"/>
          <w:lang w:val="en-US" w:eastAsia="zh-CN"/>
        </w:rPr>
        <w:t>(a) Effective value of loop closing current</w:t>
      </w:r>
    </w:p>
    <w:p w14:paraId="1E538D90">
      <w:pPr>
        <w:pStyle w:val="4"/>
        <w:keepNext w:val="0"/>
        <w:keepLines w:val="0"/>
        <w:pageBreakBefore w:val="0"/>
        <w:widowControl w:val="0"/>
        <w:kinsoku/>
        <w:wordWrap/>
        <w:overflowPunct/>
        <w:topLinePunct w:val="0"/>
        <w:autoSpaceDE/>
        <w:autoSpaceDN/>
        <w:bidi w:val="0"/>
        <w:adjustRightInd/>
        <w:snapToGrid w:val="0"/>
        <w:ind w:firstLine="0" w:firstLineChars="0"/>
        <w:jc w:val="center"/>
        <w:textAlignment w:val="auto"/>
        <w:rPr>
          <w:rFonts w:hint="default"/>
          <w:i/>
          <w:spacing w:val="0"/>
          <w:sz w:val="16"/>
          <w:szCs w:val="16"/>
          <w:lang w:val="en-US" w:eastAsia="zh-CN"/>
        </w:rPr>
      </w:pPr>
      <w:r>
        <w:rPr>
          <w:rFonts w:hint="eastAsia"/>
          <w:spacing w:val="8"/>
        </w:rPr>
        <w:object>
          <v:shape id="_x0000_i1051" o:spt="75" type="#_x0000_t75" style="height:111.5pt;width:218pt;" o:ole="t" filled="f" o:preferrelative="t" stroked="f" coordsize="21600,21600">
            <v:path/>
            <v:fill on="f" focussize="0,0"/>
            <v:stroke on="f"/>
            <v:imagedata r:id="rId68" o:title=""/>
            <o:lock v:ext="edit" aspectratio="f"/>
            <w10:wrap type="none"/>
            <w10:anchorlock/>
          </v:shape>
          <o:OLEObject Type="Embed" ProgID="Visio.Drawing.15" ShapeID="_x0000_i1051" DrawAspect="Content" ObjectID="_1468075751" r:id="rId67">
            <o:LockedField>false</o:LockedField>
          </o:OLEObject>
        </w:object>
      </w:r>
    </w:p>
    <w:p w14:paraId="4DEBF852">
      <w:pPr>
        <w:pStyle w:val="4"/>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i/>
          <w:spacing w:val="0"/>
          <w:sz w:val="16"/>
          <w:szCs w:val="16"/>
          <w:lang w:val="en-US" w:eastAsia="zh-CN"/>
        </w:rPr>
      </w:pPr>
      <w:r>
        <w:rPr>
          <w:rFonts w:hint="default"/>
          <w:i/>
          <w:spacing w:val="0"/>
          <w:sz w:val="16"/>
          <w:szCs w:val="16"/>
          <w:lang w:val="en-US" w:eastAsia="zh-CN"/>
        </w:rPr>
        <w:t>(b) Phase of loop closing current</w:t>
      </w:r>
    </w:p>
    <w:p w14:paraId="6CAE5764">
      <w:pPr>
        <w:pStyle w:val="50"/>
        <w:ind w:firstLine="0" w:firstLineChars="0"/>
        <w:jc w:val="left"/>
        <w:rPr>
          <w:rFonts w:hint="eastAsia"/>
          <w:spacing w:val="0"/>
          <w:sz w:val="20"/>
          <w:lang w:val="en-US"/>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bCs/>
          <w:i w:val="0"/>
          <w:iCs/>
          <w:spacing w:val="0"/>
          <w:sz w:val="18"/>
          <w:szCs w:val="18"/>
          <w:lang w:val="en-US" w:eastAsia="zh-CN"/>
        </w:rPr>
        <w:t>8</w:t>
      </w:r>
      <w:r>
        <w:rPr>
          <w:rFonts w:hint="eastAsia"/>
          <w:spacing w:val="0"/>
          <w:sz w:val="20"/>
          <w:lang w:val="en-US"/>
        </w:rPr>
        <w:t xml:space="preserve"> </w:t>
      </w:r>
      <w:r>
        <w:rPr>
          <w:rFonts w:hint="eastAsia"/>
          <w:spacing w:val="0"/>
          <w:sz w:val="20"/>
          <w:lang w:val="en-US" w:eastAsia="zh-CN"/>
        </w:rPr>
        <w:t xml:space="preserve"> </w:t>
      </w:r>
      <w:r>
        <w:rPr>
          <w:rFonts w:hint="eastAsia"/>
          <w:spacing w:val="0"/>
          <w:sz w:val="20"/>
          <w:lang w:val="en-US"/>
        </w:rPr>
        <w:t>Waveform of loop closing current based on the equivalent model of the closing system</w:t>
      </w:r>
    </w:p>
    <w:p w14:paraId="6BF351D5">
      <w:pPr>
        <w:pStyle w:val="50"/>
        <w:ind w:firstLine="0" w:firstLineChars="0"/>
        <w:jc w:val="left"/>
      </w:pPr>
      <w:r>
        <w:rPr>
          <w:rFonts w:hint="eastAsia"/>
          <w:b/>
          <w:i w:val="0"/>
          <w:iCs/>
          <w:spacing w:val="0"/>
          <w:sz w:val="18"/>
          <w:szCs w:val="18"/>
          <w:lang w:val="en-US" w:eastAsia="zh-CN"/>
        </w:rPr>
        <w:t>TABLE</w:t>
      </w:r>
      <w:r>
        <w:rPr>
          <w:b/>
          <w:bCs/>
          <w:i w:val="0"/>
          <w:iCs/>
          <w:spacing w:val="0"/>
          <w:sz w:val="18"/>
          <w:szCs w:val="18"/>
          <w:lang w:val="en-US"/>
        </w:rPr>
        <w:t xml:space="preserve"> </w:t>
      </w:r>
      <w:r>
        <w:rPr>
          <w:rFonts w:hint="eastAsia"/>
          <w:b/>
          <w:i w:val="0"/>
          <w:iCs/>
          <w:spacing w:val="0"/>
          <w:sz w:val="18"/>
          <w:szCs w:val="18"/>
          <w:lang w:val="en-US" w:eastAsia="zh-CN"/>
        </w:rPr>
        <w:t>3</w:t>
      </w:r>
      <w:r>
        <w:t xml:space="preserve">  </w:t>
      </w:r>
      <w:r>
        <w:rPr>
          <w:rFonts w:hint="eastAsia"/>
        </w:rPr>
        <w:t xml:space="preserve">Simulation </w:t>
      </w:r>
      <w:r>
        <w:rPr>
          <w:rFonts w:hint="eastAsia"/>
          <w:lang w:val="en-US" w:eastAsia="zh-CN"/>
        </w:rPr>
        <w:t>r</w:t>
      </w:r>
      <w:r>
        <w:rPr>
          <w:rFonts w:hint="eastAsia"/>
        </w:rPr>
        <w:t xml:space="preserve">esults of </w:t>
      </w:r>
      <w:r>
        <w:rPr>
          <w:rFonts w:hint="eastAsia"/>
          <w:lang w:val="en-US" w:eastAsia="zh-CN"/>
        </w:rPr>
        <w:t>s</w:t>
      </w:r>
      <w:r>
        <w:rPr>
          <w:rFonts w:hint="eastAsia"/>
        </w:rPr>
        <w:t>teady-</w:t>
      </w:r>
      <w:r>
        <w:rPr>
          <w:rFonts w:hint="eastAsia"/>
          <w:lang w:val="en-US" w:eastAsia="zh-CN"/>
        </w:rPr>
        <w:t>s</w:t>
      </w:r>
      <w:r>
        <w:rPr>
          <w:rFonts w:hint="eastAsia"/>
        </w:rPr>
        <w:t xml:space="preserve">tate and </w:t>
      </w:r>
      <w:r>
        <w:rPr>
          <w:rFonts w:hint="eastAsia"/>
          <w:lang w:val="en-US" w:eastAsia="zh-CN"/>
        </w:rPr>
        <w:t>impact</w:t>
      </w:r>
      <w:r>
        <w:rPr>
          <w:rFonts w:hint="eastAsia"/>
        </w:rPr>
        <w:t xml:space="preserve"> </w:t>
      </w:r>
      <w:r>
        <w:rPr>
          <w:rFonts w:hint="eastAsia"/>
          <w:lang w:val="en-US" w:eastAsia="zh-CN"/>
        </w:rPr>
        <w:t>c</w:t>
      </w:r>
      <w:r>
        <w:rPr>
          <w:rFonts w:hint="eastAsia"/>
        </w:rPr>
        <w:t xml:space="preserve">urrents at the </w:t>
      </w:r>
      <w:r>
        <w:rPr>
          <w:rFonts w:hint="eastAsia"/>
          <w:lang w:val="en-US" w:eastAsia="zh-CN"/>
        </w:rPr>
        <w:t>c</w:t>
      </w:r>
      <w:r>
        <w:rPr>
          <w:rFonts w:hint="eastAsia"/>
        </w:rPr>
        <w:t xml:space="preserve">losing </w:t>
      </w:r>
      <w:r>
        <w:rPr>
          <w:rFonts w:hint="eastAsia"/>
          <w:lang w:val="en-US" w:eastAsia="zh-CN"/>
        </w:rPr>
        <w:t>p</w:t>
      </w:r>
      <w:r>
        <w:rPr>
          <w:rFonts w:hint="eastAsia"/>
        </w:rPr>
        <w:t>oint</w:t>
      </w:r>
    </w:p>
    <w:tbl>
      <w:tblPr>
        <w:tblStyle w:val="24"/>
        <w:tblW w:w="0" w:type="auto"/>
        <w:jc w:val="center"/>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Layout w:type="autofit"/>
        <w:tblCellMar>
          <w:top w:w="0" w:type="dxa"/>
          <w:left w:w="108" w:type="dxa"/>
          <w:bottom w:w="0" w:type="dxa"/>
          <w:right w:w="108" w:type="dxa"/>
        </w:tblCellMar>
      </w:tblPr>
      <w:tblGrid>
        <w:gridCol w:w="1179"/>
        <w:gridCol w:w="1316"/>
        <w:gridCol w:w="1051"/>
        <w:gridCol w:w="634"/>
      </w:tblGrid>
      <w:tr w14:paraId="1CE6A028">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PrEx>
        <w:trPr>
          <w:trHeight w:val="222" w:hRule="atLeast"/>
          <w:jc w:val="center"/>
        </w:trPr>
        <w:tc>
          <w:tcPr>
            <w:tcW w:w="0" w:type="auto"/>
            <w:tcBorders>
              <w:bottom w:val="single" w:color="auto" w:sz="4" w:space="0"/>
            </w:tcBorders>
            <w:shd w:val="clear" w:color="auto" w:fill="FFFFFF"/>
            <w:vAlign w:val="center"/>
          </w:tcPr>
          <w:p w14:paraId="655F07BF">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Parameter</w:t>
            </w:r>
          </w:p>
        </w:tc>
        <w:tc>
          <w:tcPr>
            <w:tcW w:w="0" w:type="auto"/>
            <w:tcBorders>
              <w:bottom w:val="single" w:color="auto" w:sz="4" w:space="0"/>
            </w:tcBorders>
            <w:shd w:val="clear" w:color="auto" w:fill="FFFFFF"/>
            <w:vAlign w:val="center"/>
          </w:tcPr>
          <w:p w14:paraId="54FEC8F3">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lang w:val="en-US" w:eastAsia="zh-CN"/>
              </w:rPr>
            </w:pPr>
            <w:r>
              <w:rPr>
                <w:rFonts w:hint="eastAsia" w:cs="Times New Roman"/>
                <w:lang w:val="en-US" w:eastAsia="zh-CN"/>
              </w:rPr>
              <w:t>Calculated value</w:t>
            </w:r>
          </w:p>
        </w:tc>
        <w:tc>
          <w:tcPr>
            <w:tcW w:w="0" w:type="auto"/>
            <w:tcBorders>
              <w:bottom w:val="single" w:color="auto" w:sz="4" w:space="0"/>
            </w:tcBorders>
            <w:shd w:val="clear" w:color="auto" w:fill="FFFFFF"/>
            <w:vAlign w:val="center"/>
          </w:tcPr>
          <w:p w14:paraId="2E8C0545">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lang w:val="en-US"/>
              </w:rPr>
            </w:pPr>
            <w:r>
              <w:rPr>
                <w:rFonts w:hint="eastAsia" w:cs="Times New Roman"/>
                <w:lang w:val="en-US" w:eastAsia="zh-CN"/>
              </w:rPr>
              <w:t>Actual value</w:t>
            </w:r>
          </w:p>
        </w:tc>
        <w:tc>
          <w:tcPr>
            <w:tcW w:w="0" w:type="auto"/>
            <w:tcBorders>
              <w:bottom w:val="single" w:color="auto" w:sz="4" w:space="0"/>
            </w:tcBorders>
            <w:shd w:val="clear" w:color="auto" w:fill="FFFFFF"/>
            <w:vAlign w:val="center"/>
          </w:tcPr>
          <w:p w14:paraId="75695726">
            <w:pPr>
              <w:pStyle w:val="77"/>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iCs/>
                <w:lang w:val="en-US" w:eastAsia="zh-CN"/>
              </w:rPr>
            </w:pPr>
            <w:r>
              <w:rPr>
                <w:rFonts w:hint="eastAsia" w:cs="Times New Roman"/>
                <w:lang w:val="en-US" w:eastAsia="zh-CN"/>
              </w:rPr>
              <w:t>Error</w:t>
            </w:r>
          </w:p>
        </w:tc>
      </w:tr>
      <w:tr w14:paraId="5D1A6AB8">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tblCellMar>
            <w:top w:w="0" w:type="dxa"/>
            <w:left w:w="108" w:type="dxa"/>
            <w:bottom w:w="0" w:type="dxa"/>
            <w:right w:w="108" w:type="dxa"/>
          </w:tblCellMar>
        </w:tblPrEx>
        <w:trPr>
          <w:trHeight w:val="229" w:hRule="atLeast"/>
          <w:jc w:val="center"/>
        </w:trPr>
        <w:tc>
          <w:tcPr>
            <w:tcW w:w="0" w:type="auto"/>
            <w:tcBorders>
              <w:top w:val="single" w:color="auto" w:sz="4" w:space="0"/>
              <w:bottom w:val="nil"/>
            </w:tcBorders>
            <w:shd w:val="clear" w:color="auto" w:fill="FFFFFF"/>
            <w:vAlign w:val="center"/>
          </w:tcPr>
          <w:p w14:paraId="7C1F176D">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iCs/>
                <w:lang w:val="en-US" w:eastAsia="zh-CN"/>
              </w:rPr>
              <w:t>Steady current</w:t>
            </w:r>
          </w:p>
        </w:tc>
        <w:tc>
          <w:tcPr>
            <w:tcW w:w="0" w:type="auto"/>
            <w:tcBorders>
              <w:top w:val="single" w:color="auto" w:sz="4" w:space="0"/>
              <w:bottom w:val="nil"/>
            </w:tcBorders>
            <w:shd w:val="clear" w:color="auto" w:fill="FFFFFF"/>
            <w:vAlign w:val="center"/>
          </w:tcPr>
          <w:p w14:paraId="24BF20F5">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lang w:val="en-US" w:eastAsia="zh-CN"/>
              </w:rPr>
              <w:t>281.00A</w:t>
            </w:r>
          </w:p>
        </w:tc>
        <w:tc>
          <w:tcPr>
            <w:tcW w:w="0" w:type="auto"/>
            <w:tcBorders>
              <w:top w:val="single" w:color="auto" w:sz="4" w:space="0"/>
              <w:bottom w:val="nil"/>
            </w:tcBorders>
            <w:shd w:val="clear" w:color="auto" w:fill="FFFFFF"/>
            <w:vAlign w:val="center"/>
          </w:tcPr>
          <w:p w14:paraId="645F26D6">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lang w:val="en-US" w:eastAsia="zh-CN"/>
              </w:rPr>
              <w:t>281.87A</w:t>
            </w:r>
          </w:p>
        </w:tc>
        <w:tc>
          <w:tcPr>
            <w:tcW w:w="0" w:type="auto"/>
            <w:tcBorders>
              <w:top w:val="single" w:color="auto" w:sz="4" w:space="0"/>
              <w:bottom w:val="nil"/>
            </w:tcBorders>
            <w:shd w:val="clear" w:color="auto" w:fill="FFFFFF"/>
          </w:tcPr>
          <w:p w14:paraId="32CD4888">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bCs/>
                <w:lang w:val="en-US" w:eastAsia="zh-CN"/>
              </w:rPr>
              <w:t>0.31%</w:t>
            </w:r>
          </w:p>
        </w:tc>
      </w:tr>
      <w:tr w14:paraId="0AAF113D">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tblCellMar>
            <w:top w:w="0" w:type="dxa"/>
            <w:left w:w="108" w:type="dxa"/>
            <w:bottom w:w="0" w:type="dxa"/>
            <w:right w:w="108" w:type="dxa"/>
          </w:tblCellMar>
        </w:tblPrEx>
        <w:trPr>
          <w:trHeight w:val="222" w:hRule="atLeast"/>
          <w:jc w:val="center"/>
        </w:trPr>
        <w:tc>
          <w:tcPr>
            <w:tcW w:w="0" w:type="auto"/>
            <w:tcBorders>
              <w:top w:val="nil"/>
              <w:bottom w:val="nil"/>
            </w:tcBorders>
            <w:shd w:val="clear" w:color="auto" w:fill="FFFFFF"/>
            <w:vAlign w:val="center"/>
          </w:tcPr>
          <w:p w14:paraId="6B56D299">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iCs/>
                <w:lang w:val="en-US" w:eastAsia="zh-CN"/>
              </w:rPr>
              <w:t>Impact current</w:t>
            </w:r>
          </w:p>
        </w:tc>
        <w:tc>
          <w:tcPr>
            <w:tcW w:w="0" w:type="auto"/>
            <w:tcBorders>
              <w:top w:val="nil"/>
              <w:bottom w:val="nil"/>
            </w:tcBorders>
            <w:shd w:val="clear" w:color="auto" w:fill="FFFFFF"/>
            <w:vAlign w:val="center"/>
          </w:tcPr>
          <w:p w14:paraId="211667BD">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spacing w:val="6"/>
                <w:kern w:val="20"/>
                <w:sz w:val="15"/>
                <w:szCs w:val="24"/>
                <w:lang w:val="en-US" w:eastAsia="zh-CN" w:bidi="ar-SA"/>
              </w:rPr>
              <w:t>287.16A</w:t>
            </w:r>
          </w:p>
        </w:tc>
        <w:tc>
          <w:tcPr>
            <w:tcW w:w="0" w:type="auto"/>
            <w:tcBorders>
              <w:top w:val="nil"/>
              <w:bottom w:val="nil"/>
            </w:tcBorders>
            <w:shd w:val="clear" w:color="auto" w:fill="FFFFFF"/>
            <w:vAlign w:val="center"/>
          </w:tcPr>
          <w:p w14:paraId="2C5538F0">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spacing w:val="6"/>
                <w:kern w:val="20"/>
                <w:sz w:val="15"/>
                <w:szCs w:val="24"/>
                <w:lang w:val="en-US" w:eastAsia="zh-CN" w:bidi="ar-SA"/>
              </w:rPr>
            </w:pPr>
            <w:r>
              <w:rPr>
                <w:rFonts w:hint="eastAsia" w:cs="Times New Roman"/>
                <w:spacing w:val="6"/>
                <w:kern w:val="20"/>
                <w:sz w:val="15"/>
                <w:szCs w:val="24"/>
                <w:lang w:val="en-US" w:eastAsia="zh-CN" w:bidi="ar-SA"/>
              </w:rPr>
              <w:t>286.84A</w:t>
            </w:r>
          </w:p>
        </w:tc>
        <w:tc>
          <w:tcPr>
            <w:tcW w:w="0" w:type="auto"/>
            <w:tcBorders>
              <w:top w:val="nil"/>
              <w:bottom w:val="nil"/>
            </w:tcBorders>
            <w:shd w:val="clear" w:color="auto" w:fill="FFFFFF"/>
          </w:tcPr>
          <w:p w14:paraId="67A4F109">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lang w:val="en-US" w:eastAsia="zh-CN"/>
              </w:rPr>
            </w:pPr>
            <w:r>
              <w:rPr>
                <w:rFonts w:hint="eastAsia" w:cs="Times New Roman"/>
                <w:bCs/>
                <w:lang w:val="en-US" w:eastAsia="zh-CN"/>
              </w:rPr>
              <w:t>0.11%</w:t>
            </w:r>
          </w:p>
        </w:tc>
      </w:tr>
      <w:tr w14:paraId="0296FFF2">
        <w:tblPrEx>
          <w:tblBorders>
            <w:top w:val="single" w:color="auto" w:sz="6" w:space="0"/>
            <w:left w:val="none" w:color="auto" w:sz="0" w:space="0"/>
            <w:bottom w:val="single" w:color="auto" w:sz="6" w:space="0"/>
            <w:right w:val="none" w:color="auto" w:sz="0" w:space="0"/>
            <w:insideH w:val="single" w:color="auto" w:sz="4" w:space="0"/>
            <w:insideV w:val="none" w:color="auto" w:sz="0" w:space="0"/>
          </w:tblBorders>
          <w:shd w:val="clear" w:color="auto" w:fill="FFFFFF"/>
          <w:tblCellMar>
            <w:top w:w="0" w:type="dxa"/>
            <w:left w:w="108" w:type="dxa"/>
            <w:bottom w:w="0" w:type="dxa"/>
            <w:right w:w="108" w:type="dxa"/>
          </w:tblCellMar>
        </w:tblPrEx>
        <w:trPr>
          <w:trHeight w:val="229" w:hRule="atLeast"/>
          <w:jc w:val="center"/>
        </w:trPr>
        <w:tc>
          <w:tcPr>
            <w:tcW w:w="0" w:type="auto"/>
            <w:tcBorders>
              <w:top w:val="nil"/>
              <w:bottom w:val="single" w:color="auto" w:sz="6" w:space="0"/>
            </w:tcBorders>
            <w:shd w:val="clear" w:color="auto" w:fill="FFFFFF"/>
            <w:vAlign w:val="center"/>
          </w:tcPr>
          <w:p w14:paraId="16428A56">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bCs/>
                <w:lang w:val="en-US" w:eastAsia="zh-CN"/>
              </w:rPr>
            </w:pPr>
            <w:r>
              <w:rPr>
                <w:rFonts w:hint="eastAsia" w:cs="Times New Roman"/>
                <w:bCs/>
                <w:lang w:val="en-US" w:eastAsia="zh-CN"/>
              </w:rPr>
              <w:t>C</w:t>
            </w:r>
            <w:r>
              <w:rPr>
                <w:rFonts w:hint="default" w:ascii="Times New Roman" w:hAnsi="Times New Roman" w:eastAsia="宋体" w:cs="Times New Roman"/>
                <w:bCs/>
                <w:lang w:val="en-US" w:eastAsia="zh-CN"/>
              </w:rPr>
              <w:t>urrent p</w:t>
            </w:r>
            <w:r>
              <w:rPr>
                <w:rFonts w:hint="eastAsia" w:cs="Times New Roman"/>
                <w:bCs/>
                <w:lang w:val="en-US" w:eastAsia="zh-CN"/>
              </w:rPr>
              <w:t>h</w:t>
            </w:r>
            <w:r>
              <w:rPr>
                <w:rFonts w:hint="default" w:ascii="Times New Roman" w:hAnsi="Times New Roman" w:eastAsia="宋体" w:cs="Times New Roman"/>
                <w:bCs/>
                <w:lang w:val="en-US" w:eastAsia="zh-CN"/>
              </w:rPr>
              <w:t>ase</w:t>
            </w:r>
          </w:p>
        </w:tc>
        <w:tc>
          <w:tcPr>
            <w:tcW w:w="0" w:type="auto"/>
            <w:tcBorders>
              <w:top w:val="nil"/>
              <w:bottom w:val="single" w:color="auto" w:sz="6" w:space="0"/>
            </w:tcBorders>
            <w:shd w:val="clear" w:color="auto" w:fill="FFFFFF"/>
            <w:vAlign w:val="center"/>
          </w:tcPr>
          <w:p w14:paraId="0F2EF30E">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bCs/>
                <w:lang w:val="en-US" w:eastAsia="zh-CN"/>
              </w:rPr>
            </w:pPr>
            <w:r>
              <w:rPr>
                <w:rFonts w:hint="eastAsia" w:cs="Times New Roman"/>
                <w:lang w:val="en-US" w:eastAsia="zh-CN"/>
              </w:rPr>
              <w:t>-162.8</w:t>
            </w:r>
            <w:r>
              <w:rPr>
                <w:rFonts w:hint="default" w:ascii="Times New Roman" w:hAnsi="Times New Roman" w:cs="Times New Roman"/>
                <w:lang w:val="en-US" w:eastAsia="zh-CN"/>
              </w:rPr>
              <w:t>7°</w:t>
            </w:r>
          </w:p>
        </w:tc>
        <w:tc>
          <w:tcPr>
            <w:tcW w:w="0" w:type="auto"/>
            <w:tcBorders>
              <w:top w:val="nil"/>
              <w:bottom w:val="single" w:color="auto" w:sz="6" w:space="0"/>
            </w:tcBorders>
            <w:shd w:val="clear" w:color="auto" w:fill="FFFFFF"/>
            <w:vAlign w:val="center"/>
          </w:tcPr>
          <w:p w14:paraId="09925EBF">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bCs/>
                <w:lang w:val="en-US" w:eastAsia="zh-CN"/>
              </w:rPr>
            </w:pPr>
            <w:r>
              <w:rPr>
                <w:rFonts w:hint="eastAsia" w:cs="Times New Roman"/>
                <w:lang w:val="en-US" w:eastAsia="zh-CN"/>
              </w:rPr>
              <w:t>-160.64</w:t>
            </w:r>
            <w:r>
              <w:rPr>
                <w:rFonts w:hint="default" w:ascii="Times New Roman" w:hAnsi="Times New Roman" w:cs="Times New Roman"/>
                <w:lang w:val="en-US" w:eastAsia="zh-CN"/>
              </w:rPr>
              <w:t>°</w:t>
            </w:r>
          </w:p>
        </w:tc>
        <w:tc>
          <w:tcPr>
            <w:tcW w:w="0" w:type="auto"/>
            <w:tcBorders>
              <w:top w:val="nil"/>
              <w:bottom w:val="single" w:color="auto" w:sz="6" w:space="0"/>
            </w:tcBorders>
            <w:shd w:val="clear" w:color="auto" w:fill="FFFFFF"/>
          </w:tcPr>
          <w:p w14:paraId="435E66D2">
            <w:pPr>
              <w:pStyle w:val="77"/>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ascii="Times New Roman" w:hAnsi="Times New Roman" w:eastAsia="宋体" w:cs="Times New Roman"/>
                <w:bCs/>
                <w:lang w:val="en-US" w:eastAsia="zh-CN"/>
              </w:rPr>
            </w:pPr>
            <w:r>
              <w:rPr>
                <w:rFonts w:hint="eastAsia" w:cs="Times New Roman"/>
                <w:bCs/>
                <w:lang w:val="en-US" w:eastAsia="zh-CN"/>
              </w:rPr>
              <w:t>1.39%</w:t>
            </w:r>
          </w:p>
        </w:tc>
      </w:tr>
    </w:tbl>
    <w:p w14:paraId="4640427A">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The simulation results show that the equivalent model and loop closing current calculation method achieve errors of 0.31%, 0.11%, and 1.39% in steady-state current, impact current, and current phase, respectively, all within a reasonable range. This demonstrates the high calculation accuracy of the proposed model and method, providing robust support for loop closing current calculations in complex distribution networks.</w:t>
      </w:r>
    </w:p>
    <w:p w14:paraId="55122617">
      <w:pPr>
        <w:pStyle w:val="6"/>
        <w:ind w:firstLine="0" w:firstLineChars="0"/>
        <w:rPr>
          <w:rFonts w:hint="eastAsia" w:ascii="Arial" w:hAnsi="Arial" w:cs="Arial"/>
          <w:i/>
          <w:spacing w:val="0"/>
          <w:lang w:val="en-US"/>
        </w:rPr>
      </w:pPr>
      <w:r>
        <w:rPr>
          <w:rFonts w:hint="eastAsia" w:ascii="Arial" w:hAnsi="Arial" w:cs="Arial"/>
          <w:bCs/>
          <w:i/>
          <w:spacing w:val="0"/>
          <w:lang w:val="en-US" w:eastAsia="zh-CN"/>
        </w:rPr>
        <w:t>5</w:t>
      </w:r>
      <w:r>
        <w:rPr>
          <w:rFonts w:ascii="Arial" w:hAnsi="Arial" w:cs="Arial"/>
          <w:bCs/>
          <w:i/>
          <w:spacing w:val="0"/>
        </w:rPr>
        <w:t>.</w:t>
      </w:r>
      <w:r>
        <w:rPr>
          <w:rFonts w:hint="eastAsia" w:ascii="Arial" w:hAnsi="Arial" w:cs="Arial"/>
          <w:bCs/>
          <w:i/>
          <w:spacing w:val="0"/>
          <w:lang w:val="en-US" w:eastAsia="zh-CN"/>
        </w:rPr>
        <w:t>5.</w:t>
      </w:r>
      <w:r>
        <w:rPr>
          <w:rFonts w:ascii="Arial" w:hAnsi="Arial" w:cs="Arial"/>
          <w:i/>
          <w:spacing w:val="0"/>
        </w:rPr>
        <w:t xml:space="preserve"> </w:t>
      </w:r>
      <w:r>
        <w:rPr>
          <w:rFonts w:hint="eastAsia" w:ascii="Arial" w:hAnsi="Arial" w:cs="Arial"/>
          <w:i/>
          <w:spacing w:val="0"/>
          <w:lang w:val="en-US" w:eastAsia="zh-CN"/>
        </w:rPr>
        <w:t xml:space="preserve"> </w:t>
      </w:r>
      <w:r>
        <w:rPr>
          <w:rFonts w:hint="eastAsia" w:ascii="Arial" w:hAnsi="Arial" w:cs="Arial"/>
          <w:i/>
          <w:spacing w:val="0"/>
        </w:rPr>
        <w:t xml:space="preserve">Verification of </w:t>
      </w:r>
      <w:r>
        <w:rPr>
          <w:rFonts w:hint="eastAsia" w:ascii="Arial" w:hAnsi="Arial" w:cs="Arial"/>
          <w:i/>
          <w:spacing w:val="0"/>
          <w:lang w:val="en-US" w:eastAsia="zh-CN"/>
        </w:rPr>
        <w:t>d</w:t>
      </w:r>
      <w:r>
        <w:rPr>
          <w:rFonts w:hint="eastAsia" w:ascii="Arial" w:hAnsi="Arial" w:cs="Arial"/>
          <w:i/>
          <w:spacing w:val="0"/>
        </w:rPr>
        <w:t xml:space="preserve">ynamic </w:t>
      </w:r>
      <w:r>
        <w:rPr>
          <w:rFonts w:hint="eastAsia" w:ascii="Arial" w:hAnsi="Arial" w:cs="Arial"/>
          <w:i/>
          <w:spacing w:val="0"/>
          <w:lang w:val="en-US" w:eastAsia="zh-CN"/>
        </w:rPr>
        <w:t>m</w:t>
      </w:r>
      <w:r>
        <w:rPr>
          <w:rFonts w:hint="eastAsia" w:ascii="Arial" w:hAnsi="Arial" w:cs="Arial"/>
          <w:i/>
          <w:spacing w:val="0"/>
        </w:rPr>
        <w:t xml:space="preserve">onitoring </w:t>
      </w:r>
      <w:r>
        <w:rPr>
          <w:rFonts w:hint="eastAsia" w:ascii="Arial" w:hAnsi="Arial" w:cs="Arial"/>
          <w:i/>
          <w:spacing w:val="0"/>
          <w:lang w:val="en-US" w:eastAsia="zh-CN"/>
        </w:rPr>
        <w:t>e</w:t>
      </w:r>
      <w:r>
        <w:rPr>
          <w:rFonts w:hint="eastAsia" w:ascii="Arial" w:hAnsi="Arial" w:cs="Arial"/>
          <w:i/>
          <w:spacing w:val="0"/>
        </w:rPr>
        <w:t>fficiency</w:t>
      </w:r>
    </w:p>
    <w:p w14:paraId="55A4DD16">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sz w:val="20"/>
          <w:lang w:val="en-US"/>
        </w:rPr>
      </w:pPr>
      <w:r>
        <w:rPr>
          <w:spacing w:val="0"/>
          <w:sz w:val="20"/>
          <w:lang w:val="en-US"/>
        </w:rPr>
        <w:t>To verify the effectiveness of the dynamic monitoring module in loop closing current calculation, PV2 is replaced with a network-structured PV system, and steady-state and impact current calculations are performed. The results are shown in Fig</w:t>
      </w:r>
      <w:r>
        <w:rPr>
          <w:rFonts w:hint="eastAsia"/>
          <w:spacing w:val="0"/>
          <w:sz w:val="20"/>
          <w:lang w:val="en-US" w:eastAsia="zh-CN"/>
        </w:rPr>
        <w:t>ure</w:t>
      </w:r>
      <w:r>
        <w:rPr>
          <w:spacing w:val="0"/>
          <w:sz w:val="20"/>
          <w:lang w:val="en-US"/>
        </w:rPr>
        <w:t xml:space="preserve"> 9. As can be seen from the figure, due to the low inertia of the PV system, significant oscillations in the current waveform occurred after the loop closing operation. However, the proposed method detected this oscillation waveform through the dynamic monitoring module and tracked the steady-state current in real time. The results show that the steady-state current calculation values are still in good agreement with the actual measured values, validating the method's stability and dynamic response capability under complex operating conditions.</w:t>
      </w:r>
    </w:p>
    <w:p w14:paraId="230E76C2">
      <w:pPr>
        <w:keepNext w:val="0"/>
        <w:keepLines w:val="0"/>
        <w:pageBreakBefore w:val="0"/>
        <w:widowControl w:val="0"/>
        <w:kinsoku/>
        <w:wordWrap/>
        <w:overflowPunct/>
        <w:topLinePunct w:val="0"/>
        <w:autoSpaceDE/>
        <w:autoSpaceDN/>
        <w:bidi w:val="0"/>
        <w:adjustRightInd/>
        <w:snapToGrid w:val="0"/>
        <w:ind w:firstLine="0" w:firstLineChars="0"/>
        <w:textAlignment w:val="auto"/>
        <w:rPr>
          <w:spacing w:val="0"/>
          <w:sz w:val="20"/>
          <w:lang w:val="en-US"/>
        </w:rPr>
      </w:pPr>
      <w:r>
        <w:rPr>
          <w:rFonts w:hint="eastAsia"/>
          <w:spacing w:val="8"/>
        </w:rPr>
        <w:object>
          <v:shape id="_x0000_i1052" o:spt="75" type="#_x0000_t75" style="height:113pt;width:219pt;" o:ole="t" filled="f" o:preferrelative="t" stroked="f" coordsize="21600,21600">
            <v:path/>
            <v:fill on="f" focussize="0,0"/>
            <v:stroke on="f"/>
            <v:imagedata r:id="rId70" o:title=""/>
            <o:lock v:ext="edit" aspectratio="f"/>
            <w10:wrap type="none"/>
            <w10:anchorlock/>
          </v:shape>
          <o:OLEObject Type="Embed" ProgID="Visio.Drawing.15" ShapeID="_x0000_i1052" DrawAspect="Content" ObjectID="_1468075752" r:id="rId69">
            <o:LockedField>false</o:LockedField>
          </o:OLEObject>
        </w:object>
      </w:r>
    </w:p>
    <w:p w14:paraId="461CC843">
      <w:pPr>
        <w:pStyle w:val="50"/>
        <w:ind w:firstLine="0" w:firstLineChars="0"/>
        <w:jc w:val="left"/>
        <w:rPr>
          <w:rFonts w:hint="eastAsia"/>
          <w:spacing w:val="0"/>
          <w:sz w:val="20"/>
          <w:lang w:val="en-US"/>
        </w:rPr>
      </w:pPr>
      <w:r>
        <w:rPr>
          <w:b/>
          <w:i w:val="0"/>
          <w:iCs/>
          <w:spacing w:val="0"/>
          <w:sz w:val="18"/>
          <w:szCs w:val="18"/>
          <w:lang w:val="en-US"/>
        </w:rPr>
        <w:t>F</w:t>
      </w:r>
      <w:r>
        <w:rPr>
          <w:rFonts w:hint="eastAsia"/>
          <w:b/>
          <w:i w:val="0"/>
          <w:iCs/>
          <w:spacing w:val="0"/>
          <w:sz w:val="18"/>
          <w:szCs w:val="18"/>
          <w:lang w:val="en-US" w:eastAsia="zh-CN"/>
        </w:rPr>
        <w:t>IGURE</w:t>
      </w:r>
      <w:r>
        <w:rPr>
          <w:b/>
          <w:bCs/>
          <w:i w:val="0"/>
          <w:iCs/>
          <w:spacing w:val="0"/>
          <w:sz w:val="18"/>
          <w:szCs w:val="18"/>
          <w:lang w:val="en-US"/>
        </w:rPr>
        <w:t xml:space="preserve"> </w:t>
      </w:r>
      <w:r>
        <w:rPr>
          <w:rFonts w:hint="eastAsia"/>
          <w:b/>
          <w:bCs/>
          <w:i w:val="0"/>
          <w:iCs/>
          <w:spacing w:val="0"/>
          <w:sz w:val="18"/>
          <w:szCs w:val="18"/>
          <w:lang w:val="en-US" w:eastAsia="zh-CN"/>
        </w:rPr>
        <w:t>9</w:t>
      </w:r>
      <w:r>
        <w:rPr>
          <w:rFonts w:hint="eastAsia"/>
          <w:spacing w:val="0"/>
          <w:sz w:val="20"/>
          <w:lang w:val="en-US"/>
        </w:rPr>
        <w:t xml:space="preserve">  Loop closing current waveform under system oscillation conditions</w:t>
      </w:r>
    </w:p>
    <w:p w14:paraId="5C969113">
      <w:pPr>
        <w:pStyle w:val="55"/>
        <w:spacing w:before="240" w:after="60"/>
        <w:ind w:left="357" w:hanging="357" w:firstLineChars="0"/>
        <w:rPr>
          <w:spacing w:val="0"/>
        </w:rPr>
      </w:pPr>
      <w:r>
        <w:rPr>
          <w:rFonts w:hint="eastAsia" w:ascii="Arial" w:hAnsi="Arial" w:cs="Arial"/>
          <w:b/>
          <w:bCs/>
          <w:spacing w:val="0"/>
          <w:sz w:val="20"/>
          <w:lang w:val="en-US" w:eastAsia="zh-CN"/>
        </w:rPr>
        <w:t>6</w:t>
      </w:r>
      <w:r>
        <w:rPr>
          <w:rFonts w:hint="eastAsia" w:ascii="Arial" w:hAnsi="Arial" w:cs="Arial"/>
          <w:b/>
          <w:bCs/>
          <w:spacing w:val="0"/>
          <w:sz w:val="20"/>
          <w:lang w:eastAsia="zh-CN"/>
        </w:rPr>
        <w:t>.</w:t>
      </w:r>
      <w:r>
        <w:rPr>
          <w:spacing w:val="0"/>
        </w:rPr>
        <w:t xml:space="preserve">  </w:t>
      </w:r>
      <w:r>
        <w:rPr>
          <w:rFonts w:ascii="Arial" w:hAnsi="Arial" w:cs="Arial"/>
          <w:b/>
          <w:spacing w:val="0"/>
          <w:sz w:val="20"/>
          <w:lang w:eastAsia="zh-CN"/>
        </w:rPr>
        <w:t>C</w:t>
      </w:r>
      <w:r>
        <w:rPr>
          <w:rFonts w:ascii="Arial" w:hAnsi="Arial" w:cs="Arial"/>
          <w:b/>
          <w:spacing w:val="0"/>
          <w:sz w:val="20"/>
        </w:rPr>
        <w:t>onclusion</w:t>
      </w:r>
    </w:p>
    <w:p w14:paraId="069B4FBE">
      <w:pPr>
        <w:keepNext w:val="0"/>
        <w:keepLines w:val="0"/>
        <w:pageBreakBefore w:val="0"/>
        <w:widowControl w:val="0"/>
        <w:kinsoku/>
        <w:wordWrap/>
        <w:overflowPunct/>
        <w:topLinePunct w:val="0"/>
        <w:autoSpaceDE/>
        <w:autoSpaceDN/>
        <w:bidi w:val="0"/>
        <w:adjustRightInd/>
        <w:snapToGrid/>
        <w:ind w:firstLine="283" w:firstLineChars="0"/>
        <w:textAlignment w:val="auto"/>
        <w:rPr>
          <w:spacing w:val="0"/>
        </w:rPr>
      </w:pPr>
      <w:r>
        <w:rPr>
          <w:spacing w:val="0"/>
        </w:rPr>
        <w:t xml:space="preserve">To address the challenges in loop closing current calculations in distribution networks, this paper proposes an online loop closing </w:t>
      </w:r>
      <w:r>
        <w:rPr>
          <w:spacing w:val="0"/>
          <w:sz w:val="20"/>
          <w:lang w:val="en-US"/>
        </w:rPr>
        <w:t xml:space="preserve">current </w:t>
      </w:r>
      <w:r>
        <w:rPr>
          <w:spacing w:val="0"/>
        </w:rPr>
        <w:t>calculation method based on a dual-stack dynamic monitoring system, which effectively handles source-load fluctuations in complex distribution networks. The following conclusions are drawn from the study and simulation results:</w:t>
      </w:r>
    </w:p>
    <w:p w14:paraId="7AF473CD">
      <w:pPr>
        <w:keepNext w:val="0"/>
        <w:keepLines w:val="0"/>
        <w:pageBreakBefore w:val="0"/>
        <w:widowControl w:val="0"/>
        <w:numPr>
          <w:ilvl w:val="0"/>
          <w:numId w:val="8"/>
        </w:numPr>
        <w:kinsoku/>
        <w:wordWrap/>
        <w:overflowPunct/>
        <w:topLinePunct w:val="0"/>
        <w:autoSpaceDE/>
        <w:autoSpaceDN/>
        <w:bidi w:val="0"/>
        <w:adjustRightInd/>
        <w:snapToGrid/>
        <w:ind w:left="283" w:hanging="283" w:firstLineChars="0"/>
        <w:textAlignment w:val="auto"/>
        <w:rPr>
          <w:spacing w:val="0"/>
        </w:rPr>
      </w:pPr>
      <w:r>
        <w:rPr>
          <w:spacing w:val="0"/>
        </w:rPr>
        <w:t xml:space="preserve">The proposed </w:t>
      </w:r>
      <w:r>
        <w:rPr>
          <w:spacing w:val="0"/>
          <w:sz w:val="20"/>
          <w:lang w:val="en-US"/>
        </w:rPr>
        <w:t xml:space="preserve">method </w:t>
      </w:r>
      <w:r>
        <w:rPr>
          <w:spacing w:val="0"/>
        </w:rPr>
        <w:t>utilizes a dual-stack dynamic monitoring module, providing real-time monitoring and recording capabilities to accurately capture system dynamic changes. In scenarios with frequent source-load fluctuations, the method demonstrates a high response speed, significantly enhancing the real-time responsiveness of the loop closing current calculation process.</w:t>
      </w:r>
    </w:p>
    <w:p w14:paraId="6810B063">
      <w:pPr>
        <w:keepNext w:val="0"/>
        <w:keepLines w:val="0"/>
        <w:pageBreakBefore w:val="0"/>
        <w:widowControl w:val="0"/>
        <w:numPr>
          <w:ilvl w:val="0"/>
          <w:numId w:val="8"/>
        </w:numPr>
        <w:kinsoku/>
        <w:wordWrap/>
        <w:overflowPunct/>
        <w:topLinePunct w:val="0"/>
        <w:autoSpaceDE/>
        <w:autoSpaceDN/>
        <w:bidi w:val="0"/>
        <w:adjustRightInd/>
        <w:snapToGrid/>
        <w:ind w:left="283" w:hanging="283" w:firstLineChars="0"/>
        <w:textAlignment w:val="auto"/>
        <w:rPr>
          <w:spacing w:val="0"/>
        </w:rPr>
      </w:pPr>
      <w:r>
        <w:rPr>
          <w:spacing w:val="0"/>
        </w:rPr>
        <w:t>By adopting an equivalent modeling approach, this method simplifies the complex structure of distribution networks, reducing the computational difficulty of loop closing current calculations. The model construction fully considers the impact of distributed generation and load integration on the dynamic characteristics of the grid, offering a more comprehensive reflection of the system’s operational state. This improvement enhances the method’s adaptability in scenarios involving distributed generation integration and frequent load variations.</w:t>
      </w:r>
    </w:p>
    <w:p w14:paraId="637B8327">
      <w:pPr>
        <w:keepNext w:val="0"/>
        <w:keepLines w:val="0"/>
        <w:pageBreakBefore w:val="0"/>
        <w:widowControl w:val="0"/>
        <w:numPr>
          <w:ilvl w:val="0"/>
          <w:numId w:val="8"/>
        </w:numPr>
        <w:kinsoku/>
        <w:wordWrap/>
        <w:overflowPunct/>
        <w:topLinePunct w:val="0"/>
        <w:autoSpaceDE/>
        <w:autoSpaceDN/>
        <w:bidi w:val="0"/>
        <w:adjustRightInd/>
        <w:snapToGrid/>
        <w:ind w:left="283" w:hanging="283" w:firstLineChars="0"/>
        <w:textAlignment w:val="auto"/>
        <w:rPr>
          <w:spacing w:val="0"/>
        </w:rPr>
      </w:pPr>
      <w:r>
        <w:rPr>
          <w:spacing w:val="0"/>
        </w:rPr>
        <w:t xml:space="preserve">The method achieves a comprehensive analysis of loop closing current by calculating both steady-state and impact currents. The application of the optimal frequency method to determine the equivalent impedance and attenuation time constant at a specific frequency further improves the accuracy of impact current </w:t>
      </w:r>
      <w:bookmarkStart w:id="0" w:name="_GoBack"/>
      <w:bookmarkEnd w:id="0"/>
      <w:r>
        <w:rPr>
          <w:spacing w:val="0"/>
        </w:rPr>
        <w:t>calculations. Simulation results show that the error in steady-state and impact current values is controlled within 0.5%, and the phase error is within 1.5%. This demonstrates the method’s high applicability and precision under complex conditions, providing effective guidance for actual loop closing operations in power grids.</w:t>
      </w:r>
    </w:p>
    <w:p w14:paraId="07140A06">
      <w:pPr>
        <w:pStyle w:val="55"/>
        <w:spacing w:before="240" w:after="60"/>
        <w:ind w:left="357" w:hanging="357" w:firstLineChars="0"/>
        <w:rPr>
          <w:rFonts w:hint="eastAsia" w:ascii="Arial" w:hAnsi="Arial" w:cs="Arial"/>
          <w:b/>
          <w:spacing w:val="0"/>
          <w:sz w:val="20"/>
          <w:lang w:val="en-US" w:eastAsia="zh-CN"/>
        </w:rPr>
      </w:pPr>
      <w:r>
        <w:rPr>
          <w:rFonts w:hint="eastAsia" w:ascii="Arial" w:hAnsi="Arial" w:cs="Arial"/>
          <w:b/>
          <w:spacing w:val="0"/>
          <w:sz w:val="20"/>
          <w:lang w:val="en-US" w:eastAsia="zh-CN"/>
        </w:rPr>
        <w:t>Acknowledgement</w:t>
      </w:r>
    </w:p>
    <w:p w14:paraId="24FEF853">
      <w:pPr>
        <w:keepNext w:val="0"/>
        <w:keepLines w:val="0"/>
        <w:pageBreakBefore w:val="0"/>
        <w:widowControl w:val="0"/>
        <w:kinsoku/>
        <w:wordWrap/>
        <w:overflowPunct/>
        <w:topLinePunct w:val="0"/>
        <w:autoSpaceDE/>
        <w:autoSpaceDN/>
        <w:bidi w:val="0"/>
        <w:adjustRightInd/>
        <w:snapToGrid/>
        <w:ind w:firstLine="283" w:firstLineChars="0"/>
        <w:textAlignment w:val="auto"/>
        <w:rPr>
          <w:rFonts w:hint="default"/>
          <w:spacing w:val="0"/>
          <w:lang w:val="en-US" w:eastAsia="zh-CN"/>
        </w:rPr>
      </w:pPr>
      <w:r>
        <w:rPr>
          <w:rFonts w:hint="default"/>
          <w:spacing w:val="0"/>
          <w:lang w:val="en-US" w:eastAsia="zh-CN"/>
        </w:rPr>
        <w:t>This paper is supported by the Headquarters Management Science and Technology Project of the State Grid Corporation of China. The funding project is titled "Research and Demonstration of Key Technologies for Loop Closing Strategy Evaluation and Active Control in Large Urban Power Grids Adapted to Distributed Power Integration" (Project No. 5100-202311424A-3-2-ZN)</w:t>
      </w:r>
    </w:p>
    <w:p w14:paraId="40E9E1E8">
      <w:pPr>
        <w:pStyle w:val="55"/>
        <w:spacing w:before="240" w:after="60"/>
        <w:ind w:left="357" w:hanging="357" w:firstLineChars="0"/>
        <w:rPr>
          <w:rFonts w:ascii="Arial" w:hAnsi="Arial" w:cs="Arial"/>
          <w:b/>
          <w:spacing w:val="0"/>
          <w:sz w:val="20"/>
          <w:lang w:eastAsia="zh-CN"/>
        </w:rPr>
      </w:pPr>
      <w:r>
        <w:rPr>
          <w:rFonts w:hint="eastAsia" w:ascii="Arial" w:hAnsi="Arial" w:cs="Arial"/>
          <w:b/>
          <w:spacing w:val="0"/>
          <w:sz w:val="20"/>
          <w:lang w:eastAsia="zh-CN"/>
        </w:rPr>
        <w:t>References</w:t>
      </w:r>
    </w:p>
    <w:p w14:paraId="0EC834E8">
      <w:pPr>
        <w:pStyle w:val="62"/>
        <w:adjustRightInd w:val="0"/>
        <w:snapToGrid w:val="0"/>
        <w:ind w:left="422" w:hanging="422" w:hangingChars="211"/>
        <w:rPr>
          <w:rFonts w:hint="default" w:ascii="Times New Roman" w:hAnsi="Times New Roman" w:cs="Times New Roman"/>
          <w:sz w:val="20"/>
          <w:szCs w:val="20"/>
        </w:rPr>
      </w:pPr>
      <w:r>
        <w:rPr>
          <w:rFonts w:hint="default" w:ascii="Times New Roman" w:hAnsi="Times New Roman" w:cs="Times New Roman"/>
          <w:spacing w:val="0"/>
          <w:sz w:val="20"/>
          <w:szCs w:val="20"/>
        </w:rPr>
        <w:t>[1]</w:t>
      </w:r>
      <w:r>
        <w:rPr>
          <w:rFonts w:hint="default" w:ascii="Times New Roman" w:hAnsi="Times New Roman" w:cs="Times New Roman"/>
          <w:spacing w:val="0"/>
          <w:sz w:val="20"/>
          <w:szCs w:val="20"/>
        </w:rPr>
        <w:tab/>
      </w:r>
      <w:r>
        <w:rPr>
          <w:rFonts w:hint="default" w:ascii="Times New Roman" w:hAnsi="Times New Roman" w:eastAsia="宋体" w:cs="Times New Roman"/>
          <w:sz w:val="20"/>
          <w:szCs w:val="20"/>
        </w:rPr>
        <w:t xml:space="preserve">Yuan, H., Li, F., Wei, Y., </w:t>
      </w:r>
      <w:r>
        <w:rPr>
          <w:rFonts w:hint="eastAsia" w:cs="Times New Roman"/>
          <w:sz w:val="20"/>
          <w:szCs w:val="20"/>
          <w:lang w:val="en-US" w:eastAsia="zh-CN"/>
        </w:rPr>
        <w:t>et al.</w:t>
      </w:r>
      <w:r>
        <w:rPr>
          <w:rFonts w:hint="default" w:ascii="Times New Roman" w:hAnsi="Times New Roman" w:eastAsia="宋体" w:cs="Times New Roman"/>
          <w:sz w:val="20"/>
          <w:szCs w:val="20"/>
        </w:rPr>
        <w:t xml:space="preserve">: Novel </w:t>
      </w:r>
      <w:r>
        <w:rPr>
          <w:rFonts w:hint="eastAsia" w:cs="Times New Roman"/>
          <w:sz w:val="20"/>
          <w:szCs w:val="20"/>
          <w:lang w:val="en-US" w:eastAsia="zh-CN"/>
        </w:rPr>
        <w:t>l</w:t>
      </w:r>
      <w:r>
        <w:rPr>
          <w:rFonts w:hint="default" w:ascii="Times New Roman" w:hAnsi="Times New Roman" w:eastAsia="宋体" w:cs="Times New Roman"/>
          <w:sz w:val="20"/>
          <w:szCs w:val="20"/>
        </w:rPr>
        <w:t xml:space="preserve">inearized </w:t>
      </w:r>
      <w:r>
        <w:rPr>
          <w:rFonts w:hint="eastAsia" w:cs="Times New Roman"/>
          <w:sz w:val="20"/>
          <w:szCs w:val="20"/>
          <w:lang w:val="en-US" w:eastAsia="zh-CN"/>
        </w:rPr>
        <w:t>p</w:t>
      </w:r>
      <w:r>
        <w:rPr>
          <w:rFonts w:hint="default" w:ascii="Times New Roman" w:hAnsi="Times New Roman" w:eastAsia="宋体" w:cs="Times New Roman"/>
          <w:sz w:val="20"/>
          <w:szCs w:val="20"/>
        </w:rPr>
        <w:t xml:space="preserve">ower </w:t>
      </w:r>
      <w:r>
        <w:rPr>
          <w:rFonts w:hint="eastAsia" w:cs="Times New Roman"/>
          <w:sz w:val="20"/>
          <w:szCs w:val="20"/>
          <w:lang w:val="en-US" w:eastAsia="zh-CN"/>
        </w:rPr>
        <w:t>f</w:t>
      </w:r>
      <w:r>
        <w:rPr>
          <w:rFonts w:hint="default" w:ascii="Times New Roman" w:hAnsi="Times New Roman" w:eastAsia="宋体" w:cs="Times New Roman"/>
          <w:sz w:val="20"/>
          <w:szCs w:val="20"/>
        </w:rPr>
        <w:t xml:space="preserve">low and </w:t>
      </w:r>
      <w:r>
        <w:rPr>
          <w:rFonts w:hint="eastAsia" w:cs="Times New Roman"/>
          <w:sz w:val="20"/>
          <w:szCs w:val="20"/>
          <w:lang w:val="en-US" w:eastAsia="zh-CN"/>
        </w:rPr>
        <w:t>l</w:t>
      </w:r>
      <w:r>
        <w:rPr>
          <w:rFonts w:hint="default" w:ascii="Times New Roman" w:hAnsi="Times New Roman" w:eastAsia="宋体" w:cs="Times New Roman"/>
          <w:sz w:val="20"/>
          <w:szCs w:val="20"/>
        </w:rPr>
        <w:t xml:space="preserve">inearized OPF </w:t>
      </w:r>
      <w:r>
        <w:rPr>
          <w:rFonts w:hint="eastAsia" w:cs="Times New Roman"/>
          <w:sz w:val="20"/>
          <w:szCs w:val="20"/>
          <w:lang w:val="en-US" w:eastAsia="zh-CN"/>
        </w:rPr>
        <w:t>m</w:t>
      </w:r>
      <w:r>
        <w:rPr>
          <w:rFonts w:hint="default" w:ascii="Times New Roman" w:hAnsi="Times New Roman" w:eastAsia="宋体" w:cs="Times New Roman"/>
          <w:sz w:val="20"/>
          <w:szCs w:val="20"/>
        </w:rPr>
        <w:t xml:space="preserve">odels for </w:t>
      </w:r>
      <w:r>
        <w:rPr>
          <w:rFonts w:hint="eastAsia" w:cs="Times New Roman"/>
          <w:sz w:val="20"/>
          <w:szCs w:val="20"/>
          <w:lang w:val="en-US" w:eastAsia="zh-CN"/>
        </w:rPr>
        <w:t>a</w:t>
      </w:r>
      <w:r>
        <w:rPr>
          <w:rFonts w:hint="default" w:ascii="Times New Roman" w:hAnsi="Times New Roman" w:eastAsia="宋体" w:cs="Times New Roman"/>
          <w:sz w:val="20"/>
          <w:szCs w:val="20"/>
        </w:rPr>
        <w:t xml:space="preserve">ctive </w:t>
      </w:r>
      <w:r>
        <w:rPr>
          <w:rFonts w:hint="eastAsia" w:cs="Times New Roman"/>
          <w:sz w:val="20"/>
          <w:szCs w:val="20"/>
          <w:lang w:val="en-US" w:eastAsia="zh-CN"/>
        </w:rPr>
        <w:t>d</w:t>
      </w:r>
      <w:r>
        <w:rPr>
          <w:rFonts w:hint="default" w:ascii="Times New Roman" w:hAnsi="Times New Roman" w:eastAsia="宋体" w:cs="Times New Roman"/>
          <w:sz w:val="20"/>
          <w:szCs w:val="20"/>
        </w:rPr>
        <w:t xml:space="preserve">istribution </w:t>
      </w:r>
      <w:r>
        <w:rPr>
          <w:rFonts w:hint="eastAsia" w:cs="Times New Roman"/>
          <w:sz w:val="20"/>
          <w:szCs w:val="20"/>
          <w:lang w:val="en-US" w:eastAsia="zh-CN"/>
        </w:rPr>
        <w:t>n</w:t>
      </w:r>
      <w:r>
        <w:rPr>
          <w:rFonts w:hint="default" w:ascii="Times New Roman" w:hAnsi="Times New Roman" w:eastAsia="宋体" w:cs="Times New Roman"/>
          <w:sz w:val="20"/>
          <w:szCs w:val="20"/>
        </w:rPr>
        <w:t xml:space="preserve">etworks </w:t>
      </w:r>
      <w:r>
        <w:rPr>
          <w:rFonts w:hint="eastAsia" w:cs="Times New Roman"/>
          <w:sz w:val="20"/>
          <w:szCs w:val="20"/>
          <w:lang w:val="en-US" w:eastAsia="zh-CN"/>
        </w:rPr>
        <w:t>w</w:t>
      </w:r>
      <w:r>
        <w:rPr>
          <w:rFonts w:hint="default" w:ascii="Times New Roman" w:hAnsi="Times New Roman" w:eastAsia="宋体" w:cs="Times New Roman"/>
          <w:sz w:val="20"/>
          <w:szCs w:val="20"/>
        </w:rPr>
        <w:t xml:space="preserve">ith </w:t>
      </w:r>
      <w:r>
        <w:rPr>
          <w:rFonts w:hint="eastAsia" w:cs="Times New Roman"/>
          <w:sz w:val="20"/>
          <w:szCs w:val="20"/>
          <w:lang w:val="en-US" w:eastAsia="zh-CN"/>
        </w:rPr>
        <w:t>a</w:t>
      </w:r>
      <w:r>
        <w:rPr>
          <w:rFonts w:hint="default" w:ascii="Times New Roman" w:hAnsi="Times New Roman" w:eastAsia="宋体" w:cs="Times New Roman"/>
          <w:sz w:val="20"/>
          <w:szCs w:val="20"/>
        </w:rPr>
        <w:t xml:space="preserve">pplication in </w:t>
      </w:r>
      <w:r>
        <w:rPr>
          <w:rFonts w:hint="eastAsia" w:cs="Times New Roman"/>
          <w:sz w:val="20"/>
          <w:szCs w:val="20"/>
          <w:lang w:val="en-US" w:eastAsia="zh-CN"/>
        </w:rPr>
        <w:t>d</w:t>
      </w:r>
      <w:r>
        <w:rPr>
          <w:rFonts w:hint="default" w:ascii="Times New Roman" w:hAnsi="Times New Roman" w:eastAsia="宋体" w:cs="Times New Roman"/>
          <w:sz w:val="20"/>
          <w:szCs w:val="20"/>
        </w:rPr>
        <w:t>istribution LMP. IEEE Trans. Smart Grid 9(1), 438–448 (2018).</w:t>
      </w:r>
    </w:p>
    <w:p w14:paraId="34210E91">
      <w:pPr>
        <w:pStyle w:val="62"/>
        <w:adjustRightInd w:val="0"/>
        <w:snapToGrid w:val="0"/>
        <w:ind w:left="422" w:hanging="422" w:hangingChars="211"/>
        <w:rPr>
          <w:rFonts w:hint="default" w:ascii="Times New Roman" w:hAnsi="Times New Roman" w:cs="Times New Roman"/>
          <w:sz w:val="20"/>
          <w:szCs w:val="20"/>
        </w:rPr>
      </w:pPr>
      <w:r>
        <w:rPr>
          <w:rFonts w:hint="default" w:ascii="Times New Roman" w:hAnsi="Times New Roman" w:cs="Times New Roman"/>
          <w:spacing w:val="0"/>
          <w:sz w:val="20"/>
          <w:szCs w:val="20"/>
        </w:rPr>
        <w:t>[2]</w:t>
      </w:r>
      <w:r>
        <w:rPr>
          <w:rFonts w:hint="default" w:ascii="Times New Roman" w:hAnsi="Times New Roman" w:cs="Times New Roman"/>
          <w:spacing w:val="0"/>
          <w:sz w:val="20"/>
          <w:szCs w:val="20"/>
        </w:rPr>
        <w:tab/>
      </w:r>
      <w:r>
        <w:rPr>
          <w:rFonts w:hint="default" w:ascii="Times New Roman" w:hAnsi="Times New Roman" w:eastAsia="宋体" w:cs="Times New Roman"/>
          <w:sz w:val="20"/>
          <w:szCs w:val="20"/>
        </w:rPr>
        <w:t xml:space="preserve">Xing, X., Lin, J., Wan, C., </w:t>
      </w:r>
      <w:r>
        <w:rPr>
          <w:rFonts w:hint="eastAsia" w:cs="Times New Roman"/>
          <w:sz w:val="20"/>
          <w:szCs w:val="20"/>
          <w:lang w:val="en-US" w:eastAsia="zh-CN"/>
        </w:rPr>
        <w:t>et al.</w:t>
      </w:r>
      <w:r>
        <w:rPr>
          <w:rFonts w:hint="default" w:ascii="Times New Roman" w:hAnsi="Times New Roman" w:eastAsia="宋体" w:cs="Times New Roman"/>
          <w:sz w:val="20"/>
          <w:szCs w:val="20"/>
        </w:rPr>
        <w:t xml:space="preserve">: Model </w:t>
      </w:r>
      <w:r>
        <w:rPr>
          <w:rFonts w:hint="eastAsia" w:cs="Times New Roman"/>
          <w:sz w:val="20"/>
          <w:szCs w:val="20"/>
          <w:lang w:val="en-US" w:eastAsia="zh-CN"/>
        </w:rPr>
        <w:t>p</w:t>
      </w:r>
      <w:r>
        <w:rPr>
          <w:rFonts w:hint="default" w:ascii="Times New Roman" w:hAnsi="Times New Roman" w:eastAsia="宋体" w:cs="Times New Roman"/>
          <w:sz w:val="20"/>
          <w:szCs w:val="20"/>
        </w:rPr>
        <w:t xml:space="preserve">redictive </w:t>
      </w:r>
      <w:r>
        <w:rPr>
          <w:rFonts w:hint="eastAsia" w:cs="Times New Roman"/>
          <w:sz w:val="20"/>
          <w:szCs w:val="20"/>
          <w:lang w:val="en-US" w:eastAsia="zh-CN"/>
        </w:rPr>
        <w:t>c</w:t>
      </w:r>
      <w:r>
        <w:rPr>
          <w:rFonts w:hint="default" w:ascii="Times New Roman" w:hAnsi="Times New Roman" w:eastAsia="宋体" w:cs="Times New Roman"/>
          <w:sz w:val="20"/>
          <w:szCs w:val="20"/>
        </w:rPr>
        <w:t>ontrol of LPC-</w:t>
      </w:r>
      <w:r>
        <w:rPr>
          <w:rFonts w:hint="eastAsia" w:cs="Times New Roman"/>
          <w:sz w:val="20"/>
          <w:szCs w:val="20"/>
          <w:lang w:val="en-US" w:eastAsia="zh-CN"/>
        </w:rPr>
        <w:t>l</w:t>
      </w:r>
      <w:r>
        <w:rPr>
          <w:rFonts w:hint="default" w:ascii="Times New Roman" w:hAnsi="Times New Roman" w:eastAsia="宋体" w:cs="Times New Roman"/>
          <w:sz w:val="20"/>
          <w:szCs w:val="20"/>
        </w:rPr>
        <w:t xml:space="preserve">ooped </w:t>
      </w:r>
      <w:r>
        <w:rPr>
          <w:rFonts w:hint="eastAsia" w:cs="Times New Roman"/>
          <w:sz w:val="20"/>
          <w:szCs w:val="20"/>
          <w:lang w:val="en-US" w:eastAsia="zh-CN"/>
        </w:rPr>
        <w:t>a</w:t>
      </w:r>
      <w:r>
        <w:rPr>
          <w:rFonts w:hint="default" w:ascii="Times New Roman" w:hAnsi="Times New Roman" w:eastAsia="宋体" w:cs="Times New Roman"/>
          <w:sz w:val="20"/>
          <w:szCs w:val="20"/>
        </w:rPr>
        <w:t xml:space="preserve">ctive </w:t>
      </w:r>
      <w:r>
        <w:rPr>
          <w:rFonts w:hint="eastAsia" w:cs="Times New Roman"/>
          <w:sz w:val="20"/>
          <w:szCs w:val="20"/>
          <w:lang w:val="en-US" w:eastAsia="zh-CN"/>
        </w:rPr>
        <w:t>d</w:t>
      </w:r>
      <w:r>
        <w:rPr>
          <w:rFonts w:hint="default" w:ascii="Times New Roman" w:hAnsi="Times New Roman" w:eastAsia="宋体" w:cs="Times New Roman"/>
          <w:sz w:val="20"/>
          <w:szCs w:val="20"/>
        </w:rPr>
        <w:t xml:space="preserve">istribution </w:t>
      </w:r>
      <w:r>
        <w:rPr>
          <w:rFonts w:hint="eastAsia" w:cs="Times New Roman"/>
          <w:sz w:val="20"/>
          <w:szCs w:val="20"/>
          <w:lang w:val="en-US" w:eastAsia="zh-CN"/>
        </w:rPr>
        <w:t>n</w:t>
      </w:r>
      <w:r>
        <w:rPr>
          <w:rFonts w:hint="default" w:ascii="Times New Roman" w:hAnsi="Times New Roman" w:eastAsia="宋体" w:cs="Times New Roman"/>
          <w:sz w:val="20"/>
          <w:szCs w:val="20"/>
        </w:rPr>
        <w:t xml:space="preserve">etwork </w:t>
      </w:r>
      <w:r>
        <w:rPr>
          <w:rFonts w:hint="eastAsia" w:cs="Times New Roman"/>
          <w:sz w:val="20"/>
          <w:szCs w:val="20"/>
          <w:lang w:val="en-US" w:eastAsia="zh-CN"/>
        </w:rPr>
        <w:t>w</w:t>
      </w:r>
      <w:r>
        <w:rPr>
          <w:rFonts w:hint="default" w:ascii="Times New Roman" w:hAnsi="Times New Roman" w:eastAsia="宋体" w:cs="Times New Roman"/>
          <w:sz w:val="20"/>
          <w:szCs w:val="20"/>
        </w:rPr>
        <w:t xml:space="preserve">ith </w:t>
      </w:r>
      <w:r>
        <w:rPr>
          <w:rFonts w:hint="eastAsia" w:cs="Times New Roman"/>
          <w:sz w:val="20"/>
          <w:szCs w:val="20"/>
          <w:lang w:val="en-US" w:eastAsia="zh-CN"/>
        </w:rPr>
        <w:t>h</w:t>
      </w:r>
      <w:r>
        <w:rPr>
          <w:rFonts w:hint="default" w:ascii="Times New Roman" w:hAnsi="Times New Roman" w:eastAsia="宋体" w:cs="Times New Roman"/>
          <w:sz w:val="20"/>
          <w:szCs w:val="20"/>
        </w:rPr>
        <w:t xml:space="preserve">igh </w:t>
      </w:r>
      <w:r>
        <w:rPr>
          <w:rFonts w:hint="eastAsia" w:cs="Times New Roman"/>
          <w:sz w:val="20"/>
          <w:szCs w:val="20"/>
          <w:lang w:val="en-US" w:eastAsia="zh-CN"/>
        </w:rPr>
        <w:t>p</w:t>
      </w:r>
      <w:r>
        <w:rPr>
          <w:rFonts w:hint="default" w:ascii="Times New Roman" w:hAnsi="Times New Roman" w:eastAsia="宋体" w:cs="Times New Roman"/>
          <w:sz w:val="20"/>
          <w:szCs w:val="20"/>
        </w:rPr>
        <w:t xml:space="preserve">enetration of </w:t>
      </w:r>
      <w:r>
        <w:rPr>
          <w:rFonts w:hint="eastAsia" w:cs="Times New Roman"/>
          <w:sz w:val="20"/>
          <w:szCs w:val="20"/>
          <w:lang w:val="en-US" w:eastAsia="zh-CN"/>
        </w:rPr>
        <w:t>d</w:t>
      </w:r>
      <w:r>
        <w:rPr>
          <w:rFonts w:hint="default" w:ascii="Times New Roman" w:hAnsi="Times New Roman" w:eastAsia="宋体" w:cs="Times New Roman"/>
          <w:sz w:val="20"/>
          <w:szCs w:val="20"/>
        </w:rPr>
        <w:t xml:space="preserve">istributed </w:t>
      </w:r>
      <w:r>
        <w:rPr>
          <w:rFonts w:hint="eastAsia" w:cs="Times New Roman"/>
          <w:sz w:val="20"/>
          <w:szCs w:val="20"/>
          <w:lang w:val="en-US" w:eastAsia="zh-CN"/>
        </w:rPr>
        <w:t>g</w:t>
      </w:r>
      <w:r>
        <w:rPr>
          <w:rFonts w:hint="default" w:ascii="Times New Roman" w:hAnsi="Times New Roman" w:eastAsia="宋体" w:cs="Times New Roman"/>
          <w:sz w:val="20"/>
          <w:szCs w:val="20"/>
        </w:rPr>
        <w:t>eneration. IEEE Trans. Sustain. Energy 8(3), 1051–1063 (2017).</w:t>
      </w:r>
    </w:p>
    <w:p w14:paraId="019D1E4A">
      <w:pPr>
        <w:pStyle w:val="62"/>
        <w:adjustRightInd w:val="0"/>
        <w:snapToGrid w:val="0"/>
        <w:ind w:left="422" w:hanging="422" w:hangingChars="211"/>
        <w:rPr>
          <w:rFonts w:hint="default" w:ascii="Times New Roman" w:hAnsi="Times New Roman" w:eastAsia="宋体" w:cs="Times New Roman"/>
          <w:sz w:val="20"/>
          <w:szCs w:val="20"/>
        </w:rPr>
      </w:pPr>
      <w:r>
        <w:rPr>
          <w:rFonts w:hint="default" w:ascii="Times New Roman" w:hAnsi="Times New Roman" w:cs="Times New Roman"/>
          <w:spacing w:val="0"/>
          <w:sz w:val="20"/>
          <w:szCs w:val="20"/>
        </w:rPr>
        <w:t>[3]</w:t>
      </w:r>
      <w:r>
        <w:rPr>
          <w:rFonts w:hint="default" w:ascii="Times New Roman" w:hAnsi="Times New Roman" w:cs="Times New Roman"/>
          <w:spacing w:val="0"/>
          <w:sz w:val="20"/>
          <w:szCs w:val="20"/>
        </w:rPr>
        <w:tab/>
      </w:r>
      <w:r>
        <w:rPr>
          <w:rFonts w:hint="default" w:ascii="Times New Roman" w:hAnsi="Times New Roman" w:eastAsia="宋体" w:cs="Times New Roman"/>
          <w:sz w:val="20"/>
          <w:szCs w:val="20"/>
        </w:rPr>
        <w:t xml:space="preserve">Lin, Z., Hu, Z., Song, Y.: Distribution </w:t>
      </w:r>
      <w:r>
        <w:rPr>
          <w:rFonts w:hint="eastAsia" w:cs="Times New Roman"/>
          <w:sz w:val="20"/>
          <w:szCs w:val="20"/>
          <w:lang w:val="en-US" w:eastAsia="zh-CN"/>
        </w:rPr>
        <w:t>n</w:t>
      </w:r>
      <w:r>
        <w:rPr>
          <w:rFonts w:hint="default" w:ascii="Times New Roman" w:hAnsi="Times New Roman" w:eastAsia="宋体" w:cs="Times New Roman"/>
          <w:sz w:val="20"/>
          <w:szCs w:val="20"/>
        </w:rPr>
        <w:t xml:space="preserve">etwork </w:t>
      </w:r>
      <w:r>
        <w:rPr>
          <w:rFonts w:hint="eastAsia" w:cs="Times New Roman"/>
          <w:sz w:val="20"/>
          <w:szCs w:val="20"/>
          <w:lang w:val="en-US" w:eastAsia="zh-CN"/>
        </w:rPr>
        <w:t>e</w:t>
      </w:r>
      <w:r>
        <w:rPr>
          <w:rFonts w:hint="default" w:ascii="Times New Roman" w:hAnsi="Times New Roman" w:eastAsia="宋体" w:cs="Times New Roman"/>
          <w:sz w:val="20"/>
          <w:szCs w:val="20"/>
        </w:rPr>
        <w:t xml:space="preserve">xpansion </w:t>
      </w:r>
      <w:r>
        <w:rPr>
          <w:rFonts w:hint="eastAsia" w:cs="Times New Roman"/>
          <w:sz w:val="20"/>
          <w:szCs w:val="20"/>
          <w:lang w:val="en-US" w:eastAsia="zh-CN"/>
        </w:rPr>
        <w:t>p</w:t>
      </w:r>
      <w:r>
        <w:rPr>
          <w:rFonts w:hint="default" w:ascii="Times New Roman" w:hAnsi="Times New Roman" w:eastAsia="宋体" w:cs="Times New Roman"/>
          <w:sz w:val="20"/>
          <w:szCs w:val="20"/>
        </w:rPr>
        <w:t xml:space="preserve">lanning </w:t>
      </w:r>
      <w:r>
        <w:rPr>
          <w:rFonts w:hint="eastAsia" w:cs="Times New Roman"/>
          <w:sz w:val="20"/>
          <w:szCs w:val="20"/>
          <w:lang w:val="en-US" w:eastAsia="zh-CN"/>
        </w:rPr>
        <w:t>c</w:t>
      </w:r>
      <w:r>
        <w:rPr>
          <w:rFonts w:hint="default" w:ascii="Times New Roman" w:hAnsi="Times New Roman" w:eastAsia="宋体" w:cs="Times New Roman"/>
          <w:sz w:val="20"/>
          <w:szCs w:val="20"/>
        </w:rPr>
        <w:t xml:space="preserve">onsidering N-1 </w:t>
      </w:r>
      <w:r>
        <w:rPr>
          <w:rFonts w:hint="eastAsia" w:cs="Times New Roman"/>
          <w:sz w:val="20"/>
          <w:szCs w:val="20"/>
          <w:lang w:val="en-US" w:eastAsia="zh-CN"/>
        </w:rPr>
        <w:t>c</w:t>
      </w:r>
      <w:r>
        <w:rPr>
          <w:rFonts w:hint="default" w:ascii="Times New Roman" w:hAnsi="Times New Roman" w:eastAsia="宋体" w:cs="Times New Roman"/>
          <w:sz w:val="20"/>
          <w:szCs w:val="20"/>
        </w:rPr>
        <w:t xml:space="preserve">riterion. IEEE Trans. </w:t>
      </w:r>
      <w:r>
        <w:rPr>
          <w:rFonts w:hint="default" w:ascii="Times New Roman" w:hAnsi="Times New Roman" w:eastAsia="宋体" w:cs="Times New Roman"/>
          <w:spacing w:val="6"/>
          <w:kern w:val="0"/>
          <w:sz w:val="20"/>
          <w:szCs w:val="20"/>
          <w:lang w:val="en-US" w:eastAsia="zh-CN" w:bidi="ar"/>
        </w:rPr>
        <w:t xml:space="preserve">Power </w:t>
      </w:r>
      <w:r>
        <w:rPr>
          <w:rFonts w:hint="default" w:ascii="Times New Roman" w:hAnsi="Times New Roman" w:eastAsia="宋体" w:cs="Times New Roman"/>
          <w:sz w:val="20"/>
          <w:szCs w:val="20"/>
        </w:rPr>
        <w:t>Syst. 34(3), 2476–2478 (2019).</w:t>
      </w:r>
    </w:p>
    <w:p w14:paraId="0AFEA11C">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4</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Yan, X., Peng, W., Wang, Y., </w:t>
      </w:r>
      <w:r>
        <w:rPr>
          <w:rFonts w:hint="eastAsia" w:cs="Times New Roman"/>
          <w:sz w:val="20"/>
          <w:szCs w:val="20"/>
          <w:lang w:val="en-US" w:eastAsia="zh-CN"/>
        </w:rPr>
        <w:t>et al.</w:t>
      </w:r>
      <w:r>
        <w:t xml:space="preserve">: Flexible loop closing control method for an active </w:t>
      </w:r>
      <w:r>
        <w:rPr>
          <w:rFonts w:hint="default" w:ascii="Times New Roman" w:hAnsi="Times New Roman" w:eastAsia="宋体" w:cs="Times New Roman"/>
          <w:spacing w:val="6"/>
          <w:kern w:val="0"/>
          <w:sz w:val="20"/>
          <w:szCs w:val="20"/>
          <w:lang w:val="en-US" w:eastAsia="zh-CN" w:bidi="ar"/>
        </w:rPr>
        <w:t xml:space="preserve">distribution </w:t>
      </w:r>
      <w:r>
        <w:t>network based on dual rotary phase shifting transformers. IET Gener. Transm. Distrib. 16(20), 4204–4214 (2022).</w:t>
      </w:r>
    </w:p>
    <w:p w14:paraId="5132146F">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5</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Jiang, X., Pan, P., Wang, H., et al.: Static </w:t>
      </w:r>
      <w:r>
        <w:rPr>
          <w:rFonts w:hint="eastAsia"/>
          <w:lang w:val="en-US" w:eastAsia="zh-CN"/>
        </w:rPr>
        <w:t>e</w:t>
      </w:r>
      <w:r>
        <w:t xml:space="preserve">quivalence </w:t>
      </w:r>
      <w:r>
        <w:rPr>
          <w:rFonts w:hint="eastAsia"/>
          <w:lang w:val="en-US" w:eastAsia="zh-CN"/>
        </w:rPr>
        <w:t>m</w:t>
      </w:r>
      <w:r>
        <w:t xml:space="preserve">ethod of </w:t>
      </w:r>
      <w:r>
        <w:rPr>
          <w:rFonts w:hint="eastAsia"/>
          <w:lang w:val="en-US" w:eastAsia="zh-CN"/>
        </w:rPr>
        <w:t>p</w:t>
      </w:r>
      <w:r>
        <w:t xml:space="preserve">ower </w:t>
      </w:r>
      <w:r>
        <w:rPr>
          <w:rFonts w:hint="eastAsia"/>
          <w:lang w:val="en-US" w:eastAsia="zh-CN"/>
        </w:rPr>
        <w:t>g</w:t>
      </w:r>
      <w:r>
        <w:t xml:space="preserve">rid </w:t>
      </w:r>
      <w:r>
        <w:rPr>
          <w:rFonts w:hint="eastAsia"/>
          <w:lang w:val="en-US" w:eastAsia="zh-CN"/>
        </w:rPr>
        <w:t>b</w:t>
      </w:r>
      <w:r>
        <w:t xml:space="preserve">ased on </w:t>
      </w:r>
      <w:r>
        <w:rPr>
          <w:rFonts w:hint="eastAsia"/>
          <w:lang w:val="en-US" w:eastAsia="zh-CN"/>
        </w:rPr>
        <w:t>g</w:t>
      </w:r>
      <w:r>
        <w:t xml:space="preserve">enetic </w:t>
      </w:r>
      <w:r>
        <w:rPr>
          <w:rFonts w:hint="eastAsia"/>
          <w:lang w:val="en-US" w:eastAsia="zh-CN"/>
        </w:rPr>
        <w:t>a</w:t>
      </w:r>
      <w:r>
        <w:t>lgorithm. Electronics 13(9), 1647 (2024).</w:t>
      </w:r>
    </w:p>
    <w:p w14:paraId="22793B1B">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6</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Burchett, S.M., Douglas, D., Ghiocel, S.G., et al.: An </w:t>
      </w:r>
      <w:r>
        <w:rPr>
          <w:rFonts w:hint="eastAsia"/>
          <w:lang w:val="en-US" w:eastAsia="zh-CN"/>
        </w:rPr>
        <w:t>o</w:t>
      </w:r>
      <w:r>
        <w:t xml:space="preserve">ptimal Thévenin </w:t>
      </w:r>
      <w:r>
        <w:rPr>
          <w:rFonts w:hint="eastAsia"/>
          <w:lang w:val="en-US" w:eastAsia="zh-CN"/>
        </w:rPr>
        <w:t>e</w:t>
      </w:r>
      <w:r>
        <w:t xml:space="preserve">quivalent </w:t>
      </w:r>
      <w:r>
        <w:rPr>
          <w:rFonts w:hint="eastAsia"/>
          <w:lang w:val="en-US" w:eastAsia="zh-CN"/>
        </w:rPr>
        <w:t>e</w:t>
      </w:r>
      <w:r>
        <w:t xml:space="preserve">stimation </w:t>
      </w:r>
      <w:r>
        <w:rPr>
          <w:rFonts w:hint="eastAsia"/>
          <w:lang w:val="en-US" w:eastAsia="zh-CN"/>
        </w:rPr>
        <w:t>m</w:t>
      </w:r>
      <w:r>
        <w:t xml:space="preserve">ethod and its </w:t>
      </w:r>
      <w:r>
        <w:rPr>
          <w:rFonts w:hint="eastAsia"/>
          <w:lang w:val="en-US" w:eastAsia="zh-CN"/>
        </w:rPr>
        <w:t>a</w:t>
      </w:r>
      <w:r>
        <w:t xml:space="preserve">pplication to the </w:t>
      </w:r>
      <w:r>
        <w:rPr>
          <w:rFonts w:hint="eastAsia"/>
          <w:lang w:val="en-US" w:eastAsia="zh-CN"/>
        </w:rPr>
        <w:t>v</w:t>
      </w:r>
      <w:r>
        <w:t xml:space="preserve">oltage </w:t>
      </w:r>
      <w:r>
        <w:rPr>
          <w:rFonts w:hint="eastAsia"/>
          <w:lang w:val="en-US" w:eastAsia="zh-CN"/>
        </w:rPr>
        <w:t>s</w:t>
      </w:r>
      <w:r>
        <w:t xml:space="preserve">tability </w:t>
      </w:r>
      <w:r>
        <w:rPr>
          <w:rFonts w:hint="eastAsia"/>
          <w:lang w:val="en-US" w:eastAsia="zh-CN"/>
        </w:rPr>
        <w:t>a</w:t>
      </w:r>
      <w:r>
        <w:t xml:space="preserve">nalysis of a </w:t>
      </w:r>
      <w:r>
        <w:rPr>
          <w:rFonts w:hint="eastAsia"/>
          <w:lang w:val="en-US" w:eastAsia="zh-CN"/>
        </w:rPr>
        <w:t>w</w:t>
      </w:r>
      <w:r>
        <w:t xml:space="preserve">ind </w:t>
      </w:r>
      <w:r>
        <w:rPr>
          <w:rFonts w:hint="eastAsia"/>
          <w:lang w:val="en-US" w:eastAsia="zh-CN"/>
        </w:rPr>
        <w:t>h</w:t>
      </w:r>
      <w:r>
        <w:t>ub. IEEE Trans. Power Syst. 33(4), 3644–3652 (2018).</w:t>
      </w:r>
    </w:p>
    <w:p w14:paraId="39021415">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7</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Sheng, W.: Partition decoupling model and method in power distribution network, part I: Optimised network partition model and process. IET Cyber-Phys. Syst. Theory Appl. 8(1), 43–51 (2023).</w:t>
      </w:r>
    </w:p>
    <w:p w14:paraId="1BB26076">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8</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Yun, Z., </w:t>
      </w:r>
      <w:r>
        <w:rPr>
          <w:rFonts w:hint="default" w:ascii="Times New Roman" w:hAnsi="Times New Roman" w:eastAsia="宋体" w:cs="Times New Roman"/>
          <w:spacing w:val="6"/>
          <w:kern w:val="0"/>
          <w:sz w:val="20"/>
          <w:szCs w:val="20"/>
          <w:lang w:val="en-US" w:eastAsia="zh-CN" w:bidi="ar"/>
        </w:rPr>
        <w:t>Cui</w:t>
      </w:r>
      <w:r>
        <w:t xml:space="preserve">, X., Ma, K.: Online Thevenin </w:t>
      </w:r>
      <w:r>
        <w:rPr>
          <w:rFonts w:hint="eastAsia"/>
          <w:lang w:val="en-US" w:eastAsia="zh-CN"/>
        </w:rPr>
        <w:t>e</w:t>
      </w:r>
      <w:r>
        <w:t xml:space="preserve">quivalent </w:t>
      </w:r>
      <w:r>
        <w:rPr>
          <w:rFonts w:hint="eastAsia"/>
          <w:lang w:val="en-US" w:eastAsia="zh-CN"/>
        </w:rPr>
        <w:t>p</w:t>
      </w:r>
      <w:r>
        <w:t xml:space="preserve">arameter </w:t>
      </w:r>
      <w:r>
        <w:rPr>
          <w:rFonts w:hint="eastAsia"/>
          <w:lang w:val="en-US" w:eastAsia="zh-CN"/>
        </w:rPr>
        <w:t>i</w:t>
      </w:r>
      <w:r>
        <w:t xml:space="preserve">dentification </w:t>
      </w:r>
      <w:r>
        <w:rPr>
          <w:rFonts w:hint="eastAsia"/>
          <w:lang w:val="en-US" w:eastAsia="zh-CN"/>
        </w:rPr>
        <w:t>m</w:t>
      </w:r>
      <w:r>
        <w:t xml:space="preserve">ethod of </w:t>
      </w:r>
      <w:r>
        <w:rPr>
          <w:rFonts w:hint="eastAsia"/>
          <w:lang w:val="en-US" w:eastAsia="zh-CN"/>
        </w:rPr>
        <w:t>l</w:t>
      </w:r>
      <w:r>
        <w:t xml:space="preserve">arge </w:t>
      </w:r>
      <w:r>
        <w:rPr>
          <w:rFonts w:hint="eastAsia"/>
          <w:lang w:val="en-US" w:eastAsia="zh-CN"/>
        </w:rPr>
        <w:t>p</w:t>
      </w:r>
      <w:r>
        <w:t xml:space="preserve">ower </w:t>
      </w:r>
      <w:r>
        <w:rPr>
          <w:rFonts w:hint="eastAsia"/>
          <w:lang w:val="en-US" w:eastAsia="zh-CN"/>
        </w:rPr>
        <w:t>g</w:t>
      </w:r>
      <w:r>
        <w:t xml:space="preserve">rids </w:t>
      </w:r>
      <w:r>
        <w:rPr>
          <w:rFonts w:hint="eastAsia"/>
          <w:lang w:val="en-US" w:eastAsia="zh-CN"/>
        </w:rPr>
        <w:t>u</w:t>
      </w:r>
      <w:r>
        <w:t xml:space="preserve">sing LU </w:t>
      </w:r>
      <w:r>
        <w:rPr>
          <w:rFonts w:hint="eastAsia"/>
          <w:lang w:val="en-US" w:eastAsia="zh-CN"/>
        </w:rPr>
        <w:t>f</w:t>
      </w:r>
      <w:r>
        <w:t>actorization. IEEE Trans. Power Syst. 34(6), 4464–4475 (2019).</w:t>
      </w:r>
    </w:p>
    <w:p w14:paraId="6A104BC1">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9</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Fang, J., Deng, H., Goetz, S.M.: Grid </w:t>
      </w:r>
      <w:r>
        <w:rPr>
          <w:rFonts w:hint="eastAsia"/>
          <w:lang w:val="en-US" w:eastAsia="zh-CN"/>
        </w:rPr>
        <w:t>i</w:t>
      </w:r>
      <w:r>
        <w:t xml:space="preserve">mpedance </w:t>
      </w:r>
      <w:r>
        <w:rPr>
          <w:rFonts w:hint="eastAsia"/>
          <w:lang w:val="en-US" w:eastAsia="zh-CN"/>
        </w:rPr>
        <w:t>e</w:t>
      </w:r>
      <w:r>
        <w:t xml:space="preserve">stimation </w:t>
      </w:r>
      <w:r>
        <w:rPr>
          <w:rFonts w:hint="eastAsia"/>
          <w:lang w:val="en-US" w:eastAsia="zh-CN"/>
        </w:rPr>
        <w:t>t</w:t>
      </w:r>
      <w:r>
        <w:t xml:space="preserve">hrough </w:t>
      </w:r>
      <w:r>
        <w:rPr>
          <w:rFonts w:hint="eastAsia"/>
          <w:lang w:val="en-US" w:eastAsia="zh-CN"/>
        </w:rPr>
        <w:t>g</w:t>
      </w:r>
      <w:r>
        <w:t>rid-</w:t>
      </w:r>
      <w:r>
        <w:rPr>
          <w:rFonts w:hint="eastAsia"/>
          <w:lang w:val="en-US" w:eastAsia="zh-CN"/>
        </w:rPr>
        <w:t>f</w:t>
      </w:r>
      <w:r>
        <w:t xml:space="preserve">orming </w:t>
      </w:r>
      <w:r>
        <w:rPr>
          <w:rFonts w:hint="eastAsia"/>
          <w:lang w:val="en-US" w:eastAsia="zh-CN"/>
        </w:rPr>
        <w:t>p</w:t>
      </w:r>
      <w:r>
        <w:t xml:space="preserve">ower </w:t>
      </w:r>
      <w:r>
        <w:rPr>
          <w:rFonts w:hint="eastAsia"/>
          <w:lang w:val="en-US" w:eastAsia="zh-CN"/>
        </w:rPr>
        <w:t>c</w:t>
      </w:r>
      <w:r>
        <w:t xml:space="preserve">onverters. </w:t>
      </w:r>
      <w:r>
        <w:rPr>
          <w:rFonts w:hint="default" w:ascii="Times New Roman" w:hAnsi="Times New Roman" w:eastAsia="宋体" w:cs="Times New Roman"/>
          <w:spacing w:val="6"/>
          <w:kern w:val="0"/>
          <w:sz w:val="20"/>
          <w:szCs w:val="20"/>
          <w:lang w:val="en-US" w:eastAsia="zh-CN" w:bidi="ar"/>
        </w:rPr>
        <w:t xml:space="preserve">IEEE </w:t>
      </w:r>
      <w:r>
        <w:t>Trans. Power Electron. 36(2), 2094–2104 (2021).</w:t>
      </w:r>
    </w:p>
    <w:p w14:paraId="4DA5A0BC">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10</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Huang, B., Li, Z., Zheng, J., </w:t>
      </w:r>
      <w:r>
        <w:rPr>
          <w:rFonts w:hint="eastAsia" w:cs="Times New Roman"/>
          <w:sz w:val="20"/>
          <w:szCs w:val="20"/>
          <w:lang w:val="en-US" w:eastAsia="zh-CN"/>
        </w:rPr>
        <w:t>et al.</w:t>
      </w:r>
      <w:r>
        <w:t xml:space="preserve">: Probabilistic </w:t>
      </w:r>
      <w:r>
        <w:rPr>
          <w:rFonts w:hint="default" w:ascii="Times New Roman" w:hAnsi="Times New Roman" w:eastAsia="宋体" w:cs="Times New Roman"/>
          <w:spacing w:val="6"/>
          <w:kern w:val="0"/>
          <w:sz w:val="20"/>
          <w:szCs w:val="20"/>
          <w:lang w:val="en-US" w:eastAsia="zh-CN" w:bidi="ar"/>
        </w:rPr>
        <w:t xml:space="preserve">active </w:t>
      </w:r>
      <w:r>
        <w:t>distribution network equivalence with correlated uncertain injections for grid analysis. IET Renew. Power Gener. 14(11), 1964–1977 (2020).</w:t>
      </w:r>
    </w:p>
    <w:p w14:paraId="2BD87F1A">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11</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Abapour, S., Zare, K., Mohammadi-Ivatloo, B.: Dynamic </w:t>
      </w:r>
      <w:r>
        <w:rPr>
          <w:rFonts w:hint="default" w:ascii="Times New Roman" w:hAnsi="Times New Roman" w:eastAsia="宋体" w:cs="Times New Roman"/>
          <w:spacing w:val="6"/>
          <w:kern w:val="0"/>
          <w:sz w:val="20"/>
          <w:szCs w:val="20"/>
          <w:lang w:val="en-US" w:eastAsia="zh-CN" w:bidi="ar"/>
        </w:rPr>
        <w:t xml:space="preserve">planning </w:t>
      </w:r>
      <w:r>
        <w:t>of distributed generation units in active distribution network. IET Gener. Transm. Distrib. 9(12), 1455–1463 (2015).</w:t>
      </w:r>
    </w:p>
    <w:p w14:paraId="25D3F4F1">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12</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Conte, F., D’Agostino, F., Silvestro, F.: Operational constrained nonlinear modeling and identification of </w:t>
      </w:r>
      <w:r>
        <w:rPr>
          <w:rFonts w:hint="default" w:ascii="Times New Roman" w:hAnsi="Times New Roman" w:eastAsia="宋体" w:cs="Times New Roman"/>
          <w:spacing w:val="6"/>
          <w:kern w:val="0"/>
          <w:sz w:val="20"/>
          <w:szCs w:val="20"/>
          <w:lang w:val="en-US" w:eastAsia="zh-CN" w:bidi="ar"/>
        </w:rPr>
        <w:t xml:space="preserve">active </w:t>
      </w:r>
      <w:r>
        <w:t>distribution networks. Electric Power Syst. Res. 168, 92–104 (2019).</w:t>
      </w:r>
    </w:p>
    <w:p w14:paraId="5AD92DE6">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13</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Luo, X., Cao, S., Hu, C., </w:t>
      </w:r>
      <w:r>
        <w:rPr>
          <w:rFonts w:hint="eastAsia" w:cs="Times New Roman"/>
          <w:sz w:val="20"/>
          <w:szCs w:val="20"/>
          <w:lang w:val="en-US" w:eastAsia="zh-CN"/>
        </w:rPr>
        <w:t>et al.</w:t>
      </w:r>
      <w:r>
        <w:t xml:space="preserve">: Study of </w:t>
      </w:r>
      <w:r>
        <w:rPr>
          <w:rFonts w:hint="eastAsia"/>
          <w:lang w:val="en-US" w:eastAsia="zh-CN"/>
        </w:rPr>
        <w:t>c</w:t>
      </w:r>
      <w:r>
        <w:t xml:space="preserve">alculation </w:t>
      </w:r>
      <w:r>
        <w:rPr>
          <w:rFonts w:hint="eastAsia"/>
          <w:lang w:val="en-US" w:eastAsia="zh-CN"/>
        </w:rPr>
        <w:t>m</w:t>
      </w:r>
      <w:r>
        <w:t xml:space="preserve">ethod of </w:t>
      </w:r>
      <w:r>
        <w:rPr>
          <w:rFonts w:hint="eastAsia"/>
          <w:lang w:val="en-US" w:eastAsia="zh-CN"/>
        </w:rPr>
        <w:t>c</w:t>
      </w:r>
      <w:r>
        <w:t xml:space="preserve">urrent </w:t>
      </w:r>
      <w:r>
        <w:rPr>
          <w:rFonts w:hint="eastAsia"/>
          <w:lang w:val="en-US" w:eastAsia="zh-CN"/>
        </w:rPr>
        <w:t>i</w:t>
      </w:r>
      <w:r>
        <w:t xml:space="preserve">nduced by </w:t>
      </w:r>
      <w:r>
        <w:rPr>
          <w:rFonts w:hint="eastAsia"/>
          <w:lang w:val="en-US" w:eastAsia="zh-CN"/>
        </w:rPr>
        <w:t>c</w:t>
      </w:r>
      <w:r>
        <w:t xml:space="preserve">losing-loop </w:t>
      </w:r>
      <w:r>
        <w:rPr>
          <w:rFonts w:hint="eastAsia"/>
          <w:lang w:val="en-US" w:eastAsia="zh-CN"/>
        </w:rPr>
        <w:t>o</w:t>
      </w:r>
      <w:r>
        <w:t xml:space="preserve">perations </w:t>
      </w:r>
      <w:r>
        <w:rPr>
          <w:rFonts w:hint="eastAsia"/>
          <w:lang w:val="en-US" w:eastAsia="zh-CN"/>
        </w:rPr>
        <w:t>b</w:t>
      </w:r>
      <w:r>
        <w:t xml:space="preserve">ased on PMU in </w:t>
      </w:r>
      <w:r>
        <w:rPr>
          <w:rFonts w:hint="eastAsia"/>
          <w:lang w:val="en-US" w:eastAsia="zh-CN"/>
        </w:rPr>
        <w:t>d</w:t>
      </w:r>
      <w:r>
        <w:t xml:space="preserve">istribution </w:t>
      </w:r>
      <w:r>
        <w:rPr>
          <w:rFonts w:hint="eastAsia"/>
          <w:lang w:val="en-US" w:eastAsia="zh-CN"/>
        </w:rPr>
        <w:t>n</w:t>
      </w:r>
      <w:r>
        <w:t>etworks with DG. In: 2020 5th Asia Conf. Power Electr. Eng. (ACPEE), pp. 1668–1674 (2020).</w:t>
      </w:r>
    </w:p>
    <w:p w14:paraId="60CC9B2F">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14</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Zheng, C., Wang, S., Liu, Y.</w:t>
      </w:r>
      <w:r>
        <w:rPr>
          <w:rFonts w:hint="eastAsia"/>
          <w:lang w:val="en-US" w:eastAsia="zh-CN"/>
        </w:rPr>
        <w:t xml:space="preserve">, </w:t>
      </w:r>
      <w:r>
        <w:rPr>
          <w:rFonts w:hint="eastAsia" w:cs="Times New Roman"/>
          <w:sz w:val="20"/>
          <w:szCs w:val="20"/>
          <w:lang w:val="en-US" w:eastAsia="zh-CN"/>
        </w:rPr>
        <w:t>et al.</w:t>
      </w:r>
      <w:r>
        <w:t>: A novel RNN based load modelling method with measurement data in active distribution system. Electric Power Syst. Res. 166, 112–124 (2019).</w:t>
      </w:r>
    </w:p>
    <w:p w14:paraId="772D7207">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15</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Wang, P., Zhang, Z., Huang, Q., </w:t>
      </w:r>
      <w:r>
        <w:rPr>
          <w:rFonts w:hint="eastAsia" w:cs="Times New Roman"/>
          <w:sz w:val="20"/>
          <w:szCs w:val="20"/>
          <w:lang w:val="en-US" w:eastAsia="zh-CN"/>
        </w:rPr>
        <w:t>et al.</w:t>
      </w:r>
      <w:r>
        <w:t xml:space="preserve">: Robustness-Improved </w:t>
      </w:r>
      <w:r>
        <w:rPr>
          <w:rFonts w:hint="eastAsia"/>
          <w:lang w:val="en-US" w:eastAsia="zh-CN"/>
        </w:rPr>
        <w:t>m</w:t>
      </w:r>
      <w:r>
        <w:t xml:space="preserve">ethod for </w:t>
      </w:r>
      <w:r>
        <w:rPr>
          <w:rFonts w:hint="eastAsia" w:cs="Times New Roman"/>
          <w:spacing w:val="6"/>
          <w:kern w:val="0"/>
          <w:sz w:val="20"/>
          <w:szCs w:val="20"/>
          <w:lang w:val="en-US" w:eastAsia="zh-CN" w:bidi="ar"/>
        </w:rPr>
        <w:t>m</w:t>
      </w:r>
      <w:r>
        <w:rPr>
          <w:rFonts w:hint="default" w:ascii="Times New Roman" w:hAnsi="Times New Roman" w:eastAsia="宋体" w:cs="Times New Roman"/>
          <w:spacing w:val="6"/>
          <w:kern w:val="0"/>
          <w:sz w:val="20"/>
          <w:szCs w:val="20"/>
          <w:lang w:val="en-US" w:eastAsia="zh-CN" w:bidi="ar"/>
        </w:rPr>
        <w:t>easurement</w:t>
      </w:r>
      <w:r>
        <w:t>-</w:t>
      </w:r>
      <w:r>
        <w:rPr>
          <w:rFonts w:hint="eastAsia"/>
          <w:lang w:val="en-US" w:eastAsia="zh-CN"/>
        </w:rPr>
        <w:t>b</w:t>
      </w:r>
      <w:r>
        <w:t xml:space="preserve">ased </w:t>
      </w:r>
      <w:r>
        <w:rPr>
          <w:rFonts w:hint="eastAsia"/>
          <w:lang w:val="en-US" w:eastAsia="zh-CN"/>
        </w:rPr>
        <w:t>e</w:t>
      </w:r>
      <w:r>
        <w:t xml:space="preserve">quivalent </w:t>
      </w:r>
      <w:r>
        <w:rPr>
          <w:rFonts w:hint="eastAsia"/>
          <w:lang w:val="en-US" w:eastAsia="zh-CN"/>
        </w:rPr>
        <w:t>m</w:t>
      </w:r>
      <w:r>
        <w:t xml:space="preserve">odeling of </w:t>
      </w:r>
      <w:r>
        <w:rPr>
          <w:rFonts w:hint="eastAsia"/>
          <w:lang w:val="en-US" w:eastAsia="zh-CN"/>
        </w:rPr>
        <w:t>a</w:t>
      </w:r>
      <w:r>
        <w:t xml:space="preserve">ctive </w:t>
      </w:r>
      <w:r>
        <w:rPr>
          <w:rFonts w:hint="eastAsia"/>
          <w:lang w:val="en-US" w:eastAsia="zh-CN"/>
        </w:rPr>
        <w:t>d</w:t>
      </w:r>
      <w:r>
        <w:t xml:space="preserve">istribution </w:t>
      </w:r>
      <w:r>
        <w:rPr>
          <w:rFonts w:hint="eastAsia"/>
          <w:lang w:val="en-US" w:eastAsia="zh-CN"/>
        </w:rPr>
        <w:t>n</w:t>
      </w:r>
      <w:r>
        <w:t>etwork. IEEE Trans. Ind. Appl. 57(3), 2146–2155 (2021).</w:t>
      </w:r>
    </w:p>
    <w:p w14:paraId="1CBE2A36">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16</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Golpîra, H., Seifi, H., Haghifam, M.R.: Dynamic equivalencing of an active distribution network </w:t>
      </w:r>
      <w:r>
        <w:rPr>
          <w:rFonts w:hint="default" w:ascii="Times New Roman" w:hAnsi="Times New Roman" w:eastAsia="宋体" w:cs="Times New Roman"/>
          <w:spacing w:val="6"/>
          <w:kern w:val="0"/>
          <w:sz w:val="20"/>
          <w:szCs w:val="20"/>
          <w:lang w:val="en-US" w:eastAsia="zh-CN" w:bidi="ar"/>
        </w:rPr>
        <w:t xml:space="preserve">for </w:t>
      </w:r>
      <w:r>
        <w:t>large-scale power system frequency stability studies. IET Gener. Transm. Distrib. 9(15), 2245–2254 (2015).</w:t>
      </w:r>
    </w:p>
    <w:p w14:paraId="0AEAEEC8">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17</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Cheng, Y., Wu, W., Yang, Y., et al.: Zero-</w:t>
      </w:r>
      <w:r>
        <w:rPr>
          <w:rFonts w:hint="eastAsia" w:cs="Times New Roman"/>
          <w:spacing w:val="6"/>
          <w:kern w:val="0"/>
          <w:sz w:val="20"/>
          <w:szCs w:val="20"/>
          <w:lang w:val="en-US" w:eastAsia="zh-CN" w:bidi="ar"/>
        </w:rPr>
        <w:t>s</w:t>
      </w:r>
      <w:r>
        <w:rPr>
          <w:rFonts w:hint="default" w:ascii="Times New Roman" w:hAnsi="Times New Roman" w:eastAsia="宋体" w:cs="Times New Roman"/>
          <w:spacing w:val="6"/>
          <w:kern w:val="0"/>
          <w:sz w:val="20"/>
          <w:szCs w:val="20"/>
          <w:lang w:val="en-US" w:eastAsia="zh-CN" w:bidi="ar"/>
        </w:rPr>
        <w:t xml:space="preserve">equence </w:t>
      </w:r>
      <w:r>
        <w:rPr>
          <w:rFonts w:hint="eastAsia"/>
          <w:lang w:val="en-US" w:eastAsia="zh-CN"/>
        </w:rPr>
        <w:t>v</w:t>
      </w:r>
      <w:r>
        <w:t xml:space="preserve">oltage </w:t>
      </w:r>
      <w:r>
        <w:rPr>
          <w:rFonts w:hint="eastAsia"/>
          <w:lang w:val="en-US" w:eastAsia="zh-CN"/>
        </w:rPr>
        <w:t>i</w:t>
      </w:r>
      <w:r>
        <w:t>njection-</w:t>
      </w:r>
      <w:r>
        <w:rPr>
          <w:rFonts w:hint="eastAsia"/>
          <w:lang w:val="en-US" w:eastAsia="zh-CN"/>
        </w:rPr>
        <w:t>b</w:t>
      </w:r>
      <w:r>
        <w:t xml:space="preserve">ased </w:t>
      </w:r>
      <w:r>
        <w:rPr>
          <w:rFonts w:hint="eastAsia"/>
          <w:lang w:val="en-US" w:eastAsia="zh-CN"/>
        </w:rPr>
        <w:t>g</w:t>
      </w:r>
      <w:r>
        <w:t xml:space="preserve">rid </w:t>
      </w:r>
      <w:r>
        <w:rPr>
          <w:rFonts w:hint="eastAsia"/>
          <w:lang w:val="en-US" w:eastAsia="zh-CN"/>
        </w:rPr>
        <w:t>i</w:t>
      </w:r>
      <w:r>
        <w:t xml:space="preserve">mpedance </w:t>
      </w:r>
      <w:r>
        <w:rPr>
          <w:rFonts w:hint="eastAsia"/>
          <w:lang w:val="en-US" w:eastAsia="zh-CN"/>
        </w:rPr>
        <w:t>e</w:t>
      </w:r>
      <w:r>
        <w:t xml:space="preserve">stimation </w:t>
      </w:r>
      <w:r>
        <w:rPr>
          <w:rFonts w:hint="eastAsia"/>
          <w:lang w:val="en-US" w:eastAsia="zh-CN"/>
        </w:rPr>
        <w:t>m</w:t>
      </w:r>
      <w:r>
        <w:t xml:space="preserve">ethod for </w:t>
      </w:r>
      <w:r>
        <w:rPr>
          <w:rFonts w:hint="eastAsia"/>
          <w:lang w:val="en-US" w:eastAsia="zh-CN"/>
        </w:rPr>
        <w:t>t</w:t>
      </w:r>
      <w:r>
        <w:t>hree-</w:t>
      </w:r>
      <w:r>
        <w:rPr>
          <w:rFonts w:hint="eastAsia"/>
          <w:lang w:val="en-US" w:eastAsia="zh-CN"/>
        </w:rPr>
        <w:t>p</w:t>
      </w:r>
      <w:r>
        <w:t xml:space="preserve">hase </w:t>
      </w:r>
      <w:r>
        <w:rPr>
          <w:rFonts w:hint="eastAsia"/>
          <w:lang w:val="en-US" w:eastAsia="zh-CN"/>
        </w:rPr>
        <w:t>f</w:t>
      </w:r>
      <w:r>
        <w:t>our-</w:t>
      </w:r>
      <w:r>
        <w:rPr>
          <w:rFonts w:hint="eastAsia"/>
          <w:lang w:val="en-US" w:eastAsia="zh-CN"/>
        </w:rPr>
        <w:t>w</w:t>
      </w:r>
      <w:r>
        <w:t>ire DC/AC Grid-Connected Inverter. IEEE Trans. Ind. Electron. 71(7), 7273–7279 (2024).</w:t>
      </w:r>
    </w:p>
    <w:p w14:paraId="180A6D84">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18</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Hoffmann, N., Fuchs, F.W.: Minimal </w:t>
      </w:r>
      <w:r>
        <w:rPr>
          <w:rFonts w:hint="eastAsia"/>
          <w:lang w:val="en-US" w:eastAsia="zh-CN"/>
        </w:rPr>
        <w:t>i</w:t>
      </w:r>
      <w:r>
        <w:t xml:space="preserve">nvasive </w:t>
      </w:r>
      <w:r>
        <w:rPr>
          <w:rFonts w:hint="eastAsia" w:cs="Times New Roman"/>
          <w:spacing w:val="6"/>
          <w:kern w:val="0"/>
          <w:sz w:val="20"/>
          <w:szCs w:val="20"/>
          <w:lang w:val="en-US" w:eastAsia="zh-CN" w:bidi="ar"/>
        </w:rPr>
        <w:t>e</w:t>
      </w:r>
      <w:r>
        <w:rPr>
          <w:rFonts w:hint="default" w:ascii="Times New Roman" w:hAnsi="Times New Roman" w:eastAsia="宋体" w:cs="Times New Roman"/>
          <w:spacing w:val="6"/>
          <w:kern w:val="0"/>
          <w:sz w:val="20"/>
          <w:szCs w:val="20"/>
          <w:lang w:val="en-US" w:eastAsia="zh-CN" w:bidi="ar"/>
        </w:rPr>
        <w:t xml:space="preserve">quivalent </w:t>
      </w:r>
      <w:r>
        <w:rPr>
          <w:rFonts w:hint="eastAsia"/>
          <w:lang w:val="en-US" w:eastAsia="zh-CN"/>
        </w:rPr>
        <w:t>g</w:t>
      </w:r>
      <w:r>
        <w:t xml:space="preserve">rid </w:t>
      </w:r>
      <w:r>
        <w:rPr>
          <w:rFonts w:hint="eastAsia"/>
          <w:lang w:val="en-US" w:eastAsia="zh-CN"/>
        </w:rPr>
        <w:t>i</w:t>
      </w:r>
      <w:r>
        <w:t xml:space="preserve">mpedance </w:t>
      </w:r>
      <w:r>
        <w:rPr>
          <w:rFonts w:hint="eastAsia"/>
          <w:lang w:val="en-US" w:eastAsia="zh-CN"/>
        </w:rPr>
        <w:t>e</w:t>
      </w:r>
      <w:r>
        <w:t xml:space="preserve">stimation in </w:t>
      </w:r>
      <w:r>
        <w:rPr>
          <w:rFonts w:hint="eastAsia"/>
          <w:lang w:val="en-US" w:eastAsia="zh-CN"/>
        </w:rPr>
        <w:t>i</w:t>
      </w:r>
      <w:r>
        <w:t>nductive–</w:t>
      </w:r>
      <w:r>
        <w:rPr>
          <w:rFonts w:hint="eastAsia"/>
          <w:lang w:val="en-US" w:eastAsia="zh-CN"/>
        </w:rPr>
        <w:t>r</w:t>
      </w:r>
      <w:r>
        <w:t xml:space="preserve">esistive </w:t>
      </w:r>
      <w:r>
        <w:rPr>
          <w:rFonts w:hint="eastAsia"/>
          <w:lang w:val="en-US" w:eastAsia="zh-CN"/>
        </w:rPr>
        <w:t>p</w:t>
      </w:r>
      <w:r>
        <w:t xml:space="preserve">ower </w:t>
      </w:r>
      <w:r>
        <w:rPr>
          <w:rFonts w:hint="eastAsia"/>
          <w:lang w:val="en-US" w:eastAsia="zh-CN"/>
        </w:rPr>
        <w:t>n</w:t>
      </w:r>
      <w:r>
        <w:t xml:space="preserve">etworks </w:t>
      </w:r>
      <w:r>
        <w:rPr>
          <w:rFonts w:hint="eastAsia"/>
          <w:lang w:val="en-US" w:eastAsia="zh-CN"/>
        </w:rPr>
        <w:t>u</w:t>
      </w:r>
      <w:r>
        <w:t xml:space="preserve">sing </w:t>
      </w:r>
      <w:r>
        <w:rPr>
          <w:rFonts w:hint="eastAsia"/>
          <w:lang w:val="en-US" w:eastAsia="zh-CN"/>
        </w:rPr>
        <w:t>e</w:t>
      </w:r>
      <w:r>
        <w:t xml:space="preserve">xtended Kalman </w:t>
      </w:r>
      <w:r>
        <w:rPr>
          <w:rFonts w:hint="eastAsia"/>
          <w:lang w:val="en-US" w:eastAsia="zh-CN"/>
        </w:rPr>
        <w:t>f</w:t>
      </w:r>
      <w:r>
        <w:t>ilter. IEEE Trans. Power Electron. 29(2), 631–641 (2014).</w:t>
      </w:r>
    </w:p>
    <w:p w14:paraId="5CFFDE01">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19</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Zhang, K., Feng, Y., Yu, Y., </w:t>
      </w:r>
      <w:r>
        <w:rPr>
          <w:rFonts w:hint="eastAsia" w:cs="Times New Roman"/>
          <w:sz w:val="20"/>
          <w:szCs w:val="20"/>
          <w:lang w:val="en-US" w:eastAsia="zh-CN"/>
        </w:rPr>
        <w:t>et al.</w:t>
      </w:r>
      <w:r>
        <w:t xml:space="preserve">: Study of </w:t>
      </w:r>
      <w:r>
        <w:rPr>
          <w:rFonts w:hint="eastAsia"/>
          <w:lang w:val="en-US" w:eastAsia="zh-CN"/>
        </w:rPr>
        <w:t>c</w:t>
      </w:r>
      <w:r>
        <w:t xml:space="preserve">alculation </w:t>
      </w:r>
      <w:r>
        <w:rPr>
          <w:rFonts w:hint="eastAsia"/>
          <w:lang w:val="en-US" w:eastAsia="zh-CN"/>
        </w:rPr>
        <w:t>s</w:t>
      </w:r>
      <w:r>
        <w:t xml:space="preserve">chemes of </w:t>
      </w:r>
      <w:r>
        <w:rPr>
          <w:rFonts w:hint="eastAsia"/>
          <w:lang w:val="en-US" w:eastAsia="zh-CN"/>
        </w:rPr>
        <w:t>c</w:t>
      </w:r>
      <w:r>
        <w:t xml:space="preserve">urrents </w:t>
      </w:r>
      <w:r>
        <w:rPr>
          <w:rFonts w:hint="eastAsia"/>
          <w:lang w:val="en-US" w:eastAsia="zh-CN"/>
        </w:rPr>
        <w:t>i</w:t>
      </w:r>
      <w:r>
        <w:t xml:space="preserve">nduced by </w:t>
      </w:r>
      <w:r>
        <w:rPr>
          <w:rFonts w:hint="eastAsia"/>
          <w:lang w:val="en-US" w:eastAsia="zh-CN"/>
        </w:rPr>
        <w:t>c</w:t>
      </w:r>
      <w:r>
        <w:t>losing-</w:t>
      </w:r>
      <w:r>
        <w:rPr>
          <w:rFonts w:hint="eastAsia"/>
          <w:lang w:val="en-US" w:eastAsia="zh-CN"/>
        </w:rPr>
        <w:t>l</w:t>
      </w:r>
      <w:r>
        <w:t xml:space="preserve">oop </w:t>
      </w:r>
      <w:r>
        <w:rPr>
          <w:rFonts w:hint="eastAsia"/>
          <w:lang w:val="en-US" w:eastAsia="zh-CN"/>
        </w:rPr>
        <w:t>o</w:t>
      </w:r>
      <w:r>
        <w:t xml:space="preserve">perations in </w:t>
      </w:r>
      <w:r>
        <w:rPr>
          <w:rFonts w:hint="eastAsia"/>
          <w:lang w:val="en-US" w:eastAsia="zh-CN"/>
        </w:rPr>
        <w:t>m</w:t>
      </w:r>
      <w:r>
        <w:t>edium-</w:t>
      </w:r>
      <w:r>
        <w:rPr>
          <w:rFonts w:hint="eastAsia"/>
          <w:lang w:val="en-US" w:eastAsia="zh-CN"/>
        </w:rPr>
        <w:t>v</w:t>
      </w:r>
      <w:r>
        <w:t xml:space="preserve">oltage </w:t>
      </w:r>
      <w:r>
        <w:rPr>
          <w:rFonts w:hint="eastAsia"/>
          <w:lang w:val="en-US" w:eastAsia="zh-CN"/>
        </w:rPr>
        <w:t>d</w:t>
      </w:r>
      <w:r>
        <w:t xml:space="preserve">istribution </w:t>
      </w:r>
      <w:r>
        <w:rPr>
          <w:rFonts w:hint="eastAsia"/>
          <w:lang w:val="en-US" w:eastAsia="zh-CN"/>
        </w:rPr>
        <w:t>g</w:t>
      </w:r>
      <w:r>
        <w:t>rids. In: 2019 IEEE Sustainable Power and Energy Conf. (iSPEC), pp. 2488–2493 (2019).</w:t>
      </w:r>
    </w:p>
    <w:p w14:paraId="17AD98E8">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20</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Xiaoqing, H., Yuan, N., Putong, W., </w:t>
      </w:r>
      <w:r>
        <w:rPr>
          <w:rFonts w:hint="eastAsia" w:cs="Times New Roman"/>
          <w:sz w:val="20"/>
          <w:szCs w:val="20"/>
          <w:lang w:val="en-US" w:eastAsia="zh-CN"/>
        </w:rPr>
        <w:t>et al.</w:t>
      </w:r>
      <w:r>
        <w:t>: Calculation method of closed-</w:t>
      </w:r>
      <w:r>
        <w:rPr>
          <w:rFonts w:hint="default" w:ascii="Times New Roman" w:hAnsi="Times New Roman" w:eastAsia="宋体" w:cs="Times New Roman"/>
          <w:spacing w:val="6"/>
          <w:kern w:val="0"/>
          <w:sz w:val="20"/>
          <w:szCs w:val="20"/>
          <w:lang w:val="en-US" w:eastAsia="zh-CN" w:bidi="ar"/>
        </w:rPr>
        <w:t xml:space="preserve">loop </w:t>
      </w:r>
      <w:r>
        <w:t>current in distribution network based on the improved cumulant method. In: Annual Meeting of CSEE Study Committee of HVDC and Power Electronics (HVDC 2023), pp. 376–383 (2023).</w:t>
      </w:r>
    </w:p>
    <w:p w14:paraId="4D215672">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21</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Qiu, Z., Wu, L., Zeng, T., Yuan, W., Zhang, X., Cheng, T.: An </w:t>
      </w:r>
      <w:r>
        <w:rPr>
          <w:rFonts w:hint="eastAsia" w:cs="Times New Roman"/>
          <w:spacing w:val="6"/>
          <w:kern w:val="0"/>
          <w:sz w:val="20"/>
          <w:szCs w:val="20"/>
          <w:lang w:val="en-US" w:eastAsia="zh-CN" w:bidi="ar"/>
        </w:rPr>
        <w:t>e</w:t>
      </w:r>
      <w:r>
        <w:rPr>
          <w:rFonts w:hint="default" w:ascii="Times New Roman" w:hAnsi="Times New Roman" w:eastAsia="宋体" w:cs="Times New Roman"/>
          <w:spacing w:val="6"/>
          <w:kern w:val="0"/>
          <w:sz w:val="20"/>
          <w:szCs w:val="20"/>
          <w:lang w:val="en-US" w:eastAsia="zh-CN" w:bidi="ar"/>
        </w:rPr>
        <w:t xml:space="preserve">fficient </w:t>
      </w:r>
      <w:r>
        <w:rPr>
          <w:rFonts w:hint="eastAsia"/>
          <w:lang w:val="en-US" w:eastAsia="zh-CN"/>
        </w:rPr>
        <w:t>s</w:t>
      </w:r>
      <w:r>
        <w:t xml:space="preserve">parse </w:t>
      </w:r>
      <w:r>
        <w:rPr>
          <w:rFonts w:hint="eastAsia"/>
          <w:lang w:val="en-US" w:eastAsia="zh-CN"/>
        </w:rPr>
        <w:t>m</w:t>
      </w:r>
      <w:r>
        <w:t xml:space="preserve">atrix </w:t>
      </w:r>
      <w:r>
        <w:rPr>
          <w:rFonts w:hint="eastAsia"/>
          <w:lang w:val="en-US" w:eastAsia="zh-CN"/>
        </w:rPr>
        <w:t>t</w:t>
      </w:r>
      <w:r>
        <w:t xml:space="preserve">echnique for </w:t>
      </w:r>
      <w:r>
        <w:rPr>
          <w:rFonts w:hint="eastAsia"/>
          <w:lang w:val="en-US" w:eastAsia="zh-CN"/>
        </w:rPr>
        <w:t>c</w:t>
      </w:r>
      <w:r>
        <w:t xml:space="preserve">losed </w:t>
      </w:r>
      <w:r>
        <w:rPr>
          <w:rFonts w:hint="eastAsia"/>
          <w:lang w:val="en-US" w:eastAsia="zh-CN"/>
        </w:rPr>
        <w:t>l</w:t>
      </w:r>
      <w:r>
        <w:t xml:space="preserve">oop </w:t>
      </w:r>
      <w:r>
        <w:rPr>
          <w:rFonts w:hint="eastAsia"/>
          <w:lang w:val="en-US" w:eastAsia="zh-CN"/>
        </w:rPr>
        <w:t>c</w:t>
      </w:r>
      <w:r>
        <w:t xml:space="preserve">urrent </w:t>
      </w:r>
      <w:r>
        <w:rPr>
          <w:rFonts w:hint="eastAsia"/>
          <w:lang w:val="en-US" w:eastAsia="zh-CN"/>
        </w:rPr>
        <w:t>a</w:t>
      </w:r>
      <w:r>
        <w:t xml:space="preserve">nalysis in </w:t>
      </w:r>
      <w:r>
        <w:rPr>
          <w:rFonts w:hint="eastAsia"/>
          <w:lang w:val="en-US" w:eastAsia="zh-CN"/>
        </w:rPr>
        <w:t>d</w:t>
      </w:r>
      <w:r>
        <w:t xml:space="preserve">istribution </w:t>
      </w:r>
      <w:r>
        <w:rPr>
          <w:rFonts w:hint="eastAsia"/>
          <w:lang w:val="en-US" w:eastAsia="zh-CN"/>
        </w:rPr>
        <w:t>n</w:t>
      </w:r>
      <w:r>
        <w:t>etwork. In: 2022 5th Int. Conf. Renew. Energy Power Eng. (REPE), pp. 222–227 (2022).</w:t>
      </w:r>
    </w:p>
    <w:p w14:paraId="155CCA8F">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22</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Li, M., Huang, W., Tai, N., </w:t>
      </w:r>
      <w:r>
        <w:rPr>
          <w:rFonts w:hint="eastAsia" w:cs="Times New Roman"/>
          <w:sz w:val="20"/>
          <w:szCs w:val="20"/>
          <w:lang w:val="en-US" w:eastAsia="zh-CN"/>
        </w:rPr>
        <w:t>et al.</w:t>
      </w:r>
      <w:r>
        <w:t xml:space="preserve">: Surge </w:t>
      </w:r>
      <w:r>
        <w:rPr>
          <w:rFonts w:hint="eastAsia"/>
          <w:lang w:val="en-US" w:eastAsia="zh-CN"/>
        </w:rPr>
        <w:t>c</w:t>
      </w:r>
      <w:r>
        <w:t xml:space="preserve">urrent </w:t>
      </w:r>
      <w:r>
        <w:rPr>
          <w:rFonts w:hint="eastAsia"/>
          <w:lang w:val="en-US" w:eastAsia="zh-CN"/>
        </w:rPr>
        <w:t>c</w:t>
      </w:r>
      <w:r>
        <w:t xml:space="preserve">alculation and </w:t>
      </w:r>
      <w:r>
        <w:rPr>
          <w:rFonts w:hint="eastAsia"/>
          <w:lang w:val="en-US" w:eastAsia="zh-CN"/>
        </w:rPr>
        <w:t>l</w:t>
      </w:r>
      <w:r>
        <w:t xml:space="preserve">imit </w:t>
      </w:r>
      <w:r>
        <w:rPr>
          <w:rFonts w:hint="eastAsia"/>
          <w:lang w:val="en-US" w:eastAsia="zh-CN"/>
        </w:rPr>
        <w:t>s</w:t>
      </w:r>
      <w:r>
        <w:t xml:space="preserve">trategy of the IIDG during </w:t>
      </w:r>
      <w:r>
        <w:rPr>
          <w:rFonts w:hint="eastAsia"/>
          <w:lang w:val="en-US" w:eastAsia="zh-CN"/>
        </w:rPr>
        <w:t>l</w:t>
      </w:r>
      <w:r>
        <w:t xml:space="preserve">oop </w:t>
      </w:r>
      <w:r>
        <w:rPr>
          <w:rFonts w:hint="eastAsia"/>
          <w:lang w:val="en-US" w:eastAsia="zh-CN"/>
        </w:rPr>
        <w:t>c</w:t>
      </w:r>
      <w:r>
        <w:t xml:space="preserve">losing </w:t>
      </w:r>
      <w:r>
        <w:rPr>
          <w:rFonts w:hint="eastAsia"/>
          <w:lang w:val="en-US" w:eastAsia="zh-CN"/>
        </w:rPr>
        <w:t>o</w:t>
      </w:r>
      <w:r>
        <w:t xml:space="preserve">peration in </w:t>
      </w:r>
      <w:r>
        <w:rPr>
          <w:rFonts w:hint="eastAsia"/>
          <w:lang w:val="en-US" w:eastAsia="zh-CN"/>
        </w:rPr>
        <w:t>d</w:t>
      </w:r>
      <w:r>
        <w:t xml:space="preserve">istribution </w:t>
      </w:r>
      <w:r>
        <w:rPr>
          <w:rFonts w:hint="eastAsia" w:cs="Times New Roman"/>
          <w:spacing w:val="6"/>
          <w:kern w:val="0"/>
          <w:sz w:val="20"/>
          <w:szCs w:val="20"/>
          <w:lang w:val="en-US" w:eastAsia="zh-CN" w:bidi="ar"/>
        </w:rPr>
        <w:t>n</w:t>
      </w:r>
      <w:r>
        <w:rPr>
          <w:rFonts w:hint="default" w:ascii="Times New Roman" w:hAnsi="Times New Roman" w:eastAsia="宋体" w:cs="Times New Roman"/>
          <w:spacing w:val="6"/>
          <w:kern w:val="0"/>
          <w:sz w:val="20"/>
          <w:szCs w:val="20"/>
          <w:lang w:val="en-US" w:eastAsia="zh-CN" w:bidi="ar"/>
        </w:rPr>
        <w:t>etworks</w:t>
      </w:r>
      <w:r>
        <w:t>. In: 2019 IEEE Sustainable Power and Energy Conf. (iSPEC), pp. 756–761 (2019).</w:t>
      </w:r>
    </w:p>
    <w:p w14:paraId="19D66019">
      <w:pPr>
        <w:pStyle w:val="62"/>
        <w:adjustRightInd w:val="0"/>
        <w:snapToGrid w:val="0"/>
        <w:ind w:left="422" w:hanging="422" w:hangingChars="211"/>
      </w:pPr>
      <w:r>
        <w:rPr>
          <w:rFonts w:hint="default" w:ascii="Times New Roman" w:hAnsi="Times New Roman" w:cs="Times New Roman"/>
          <w:spacing w:val="0"/>
          <w:sz w:val="20"/>
          <w:szCs w:val="20"/>
        </w:rPr>
        <w:t>[</w:t>
      </w:r>
      <w:r>
        <w:rPr>
          <w:rFonts w:hint="eastAsia" w:cs="Times New Roman"/>
          <w:spacing w:val="0"/>
          <w:sz w:val="20"/>
          <w:szCs w:val="20"/>
          <w:lang w:val="en-US" w:eastAsia="zh-CN"/>
        </w:rPr>
        <w:t>23</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Luo, X., Yang, J., Gu, L., et al.: Research on </w:t>
      </w:r>
      <w:r>
        <w:rPr>
          <w:rFonts w:hint="eastAsia"/>
          <w:lang w:val="en-US" w:eastAsia="zh-CN"/>
        </w:rPr>
        <w:t>c</w:t>
      </w:r>
      <w:r>
        <w:t xml:space="preserve">losing-loop </w:t>
      </w:r>
      <w:r>
        <w:rPr>
          <w:rFonts w:hint="eastAsia"/>
          <w:lang w:val="en-US" w:eastAsia="zh-CN"/>
        </w:rPr>
        <w:t>c</w:t>
      </w:r>
      <w:r>
        <w:t xml:space="preserve">urrent </w:t>
      </w:r>
      <w:r>
        <w:rPr>
          <w:rFonts w:hint="eastAsia"/>
          <w:lang w:val="en-US" w:eastAsia="zh-CN"/>
        </w:rPr>
        <w:t>c</w:t>
      </w:r>
      <w:r>
        <w:t xml:space="preserve">alculation </w:t>
      </w:r>
      <w:r>
        <w:rPr>
          <w:rFonts w:hint="eastAsia"/>
          <w:lang w:val="en-US" w:eastAsia="zh-CN"/>
        </w:rPr>
        <w:t>m</w:t>
      </w:r>
      <w:r>
        <w:t xml:space="preserve">ethod and </w:t>
      </w:r>
      <w:r>
        <w:rPr>
          <w:rFonts w:hint="eastAsia"/>
          <w:lang w:val="en-US" w:eastAsia="zh-CN"/>
        </w:rPr>
        <w:t>c</w:t>
      </w:r>
      <w:r>
        <w:t xml:space="preserve">ontrol </w:t>
      </w:r>
      <w:r>
        <w:rPr>
          <w:rFonts w:hint="eastAsia"/>
          <w:lang w:val="en-US" w:eastAsia="zh-CN"/>
        </w:rPr>
        <w:t>s</w:t>
      </w:r>
      <w:r>
        <w:t xml:space="preserve">trategy in </w:t>
      </w:r>
      <w:r>
        <w:rPr>
          <w:rFonts w:hint="eastAsia"/>
          <w:lang w:val="en-US" w:eastAsia="zh-CN"/>
        </w:rPr>
        <w:t>c</w:t>
      </w:r>
      <w:r>
        <w:t xml:space="preserve">omplex </w:t>
      </w:r>
      <w:r>
        <w:rPr>
          <w:rFonts w:hint="eastAsia"/>
          <w:lang w:val="en-US" w:eastAsia="zh-CN"/>
        </w:rPr>
        <w:t>d</w:t>
      </w:r>
      <w:r>
        <w:t xml:space="preserve">istribution </w:t>
      </w:r>
      <w:r>
        <w:rPr>
          <w:rFonts w:hint="eastAsia"/>
          <w:lang w:val="en-US" w:eastAsia="zh-CN"/>
        </w:rPr>
        <w:t>n</w:t>
      </w:r>
      <w:r>
        <w:t xml:space="preserve">etwork. In: 2020 IEEE/IAS Ind. Commercial </w:t>
      </w:r>
      <w:r>
        <w:rPr>
          <w:rFonts w:hint="default" w:ascii="Times New Roman" w:hAnsi="Times New Roman" w:eastAsia="宋体" w:cs="Times New Roman"/>
          <w:spacing w:val="6"/>
          <w:kern w:val="0"/>
          <w:sz w:val="20"/>
          <w:szCs w:val="20"/>
          <w:lang w:val="en-US" w:eastAsia="zh-CN" w:bidi="ar"/>
        </w:rPr>
        <w:t xml:space="preserve">Power </w:t>
      </w:r>
      <w:r>
        <w:t>Syst. Asia (I&amp;CPS Asia), pp. 992–999 (2020).</w:t>
      </w:r>
    </w:p>
    <w:p w14:paraId="6124A93D">
      <w:pPr>
        <w:pStyle w:val="62"/>
        <w:adjustRightInd w:val="0"/>
        <w:snapToGrid w:val="0"/>
        <w:ind w:left="422" w:hanging="422" w:hangingChars="211"/>
        <w:rPr>
          <w:rFonts w:eastAsia="黑体"/>
          <w:color w:val="000000"/>
          <w:spacing w:val="0"/>
          <w:sz w:val="15"/>
        </w:rPr>
      </w:pPr>
      <w:r>
        <w:rPr>
          <w:rFonts w:hint="default" w:ascii="Times New Roman" w:hAnsi="Times New Roman" w:cs="Times New Roman"/>
          <w:spacing w:val="0"/>
          <w:sz w:val="20"/>
          <w:szCs w:val="20"/>
        </w:rPr>
        <w:t>[</w:t>
      </w:r>
      <w:r>
        <w:rPr>
          <w:rFonts w:hint="eastAsia" w:cs="Times New Roman"/>
          <w:spacing w:val="0"/>
          <w:sz w:val="20"/>
          <w:szCs w:val="20"/>
          <w:lang w:val="en-US" w:eastAsia="zh-CN"/>
        </w:rPr>
        <w:t>24</w:t>
      </w:r>
      <w:r>
        <w:rPr>
          <w:rFonts w:hint="default" w:ascii="Times New Roman" w:hAnsi="Times New Roman" w:cs="Times New Roman"/>
          <w:spacing w:val="0"/>
          <w:sz w:val="20"/>
          <w:szCs w:val="20"/>
        </w:rPr>
        <w:t>]</w:t>
      </w:r>
      <w:r>
        <w:rPr>
          <w:rFonts w:hint="default" w:ascii="Times New Roman" w:hAnsi="Times New Roman" w:cs="Times New Roman"/>
          <w:spacing w:val="0"/>
          <w:sz w:val="20"/>
          <w:szCs w:val="20"/>
        </w:rPr>
        <w:tab/>
      </w:r>
      <w:r>
        <w:t xml:space="preserve">Wang, H., Yu, X., Zhang, Z., </w:t>
      </w:r>
      <w:r>
        <w:rPr>
          <w:rFonts w:hint="eastAsia" w:cs="Times New Roman"/>
          <w:sz w:val="20"/>
          <w:szCs w:val="20"/>
          <w:lang w:val="en-US" w:eastAsia="zh-CN"/>
        </w:rPr>
        <w:t>et al.</w:t>
      </w:r>
      <w:r>
        <w:t xml:space="preserve">: Calculation, </w:t>
      </w:r>
      <w:r>
        <w:rPr>
          <w:rFonts w:hint="eastAsia"/>
          <w:lang w:val="en-US" w:eastAsia="zh-CN"/>
        </w:rPr>
        <w:t>m</w:t>
      </w:r>
      <w:r>
        <w:t xml:space="preserve">easurement </w:t>
      </w:r>
      <w:r>
        <w:rPr>
          <w:rFonts w:hint="eastAsia"/>
          <w:lang w:val="en-US" w:eastAsia="zh-CN"/>
        </w:rPr>
        <w:t>a</w:t>
      </w:r>
      <w:r>
        <w:t xml:space="preserve">nd </w:t>
      </w:r>
      <w:r>
        <w:rPr>
          <w:rFonts w:hint="eastAsia"/>
          <w:lang w:val="en-US" w:eastAsia="zh-CN"/>
        </w:rPr>
        <w:t>e</w:t>
      </w:r>
      <w:r>
        <w:t xml:space="preserve">ngineering </w:t>
      </w:r>
      <w:r>
        <w:rPr>
          <w:rFonts w:hint="eastAsia"/>
          <w:lang w:val="en-US" w:eastAsia="zh-CN"/>
        </w:rPr>
        <w:t>a</w:t>
      </w:r>
      <w:r>
        <w:t xml:space="preserve">pplication Of </w:t>
      </w:r>
      <w:r>
        <w:rPr>
          <w:rFonts w:hint="eastAsia"/>
          <w:lang w:val="en-US" w:eastAsia="zh-CN"/>
        </w:rPr>
        <w:t>l</w:t>
      </w:r>
      <w:r>
        <w:t xml:space="preserve">oop </w:t>
      </w:r>
      <w:r>
        <w:rPr>
          <w:rFonts w:hint="eastAsia"/>
          <w:lang w:val="en-US" w:eastAsia="zh-CN"/>
        </w:rPr>
        <w:t>c</w:t>
      </w:r>
      <w:r>
        <w:t xml:space="preserve">losing </w:t>
      </w:r>
      <w:r>
        <w:rPr>
          <w:rFonts w:hint="eastAsia"/>
          <w:lang w:val="en-US" w:eastAsia="zh-CN"/>
        </w:rPr>
        <w:t>c</w:t>
      </w:r>
      <w:r>
        <w:t xml:space="preserve">urrent </w:t>
      </w:r>
      <w:r>
        <w:rPr>
          <w:rFonts w:hint="eastAsia"/>
          <w:lang w:val="en-US" w:eastAsia="zh-CN"/>
        </w:rPr>
        <w:t>i</w:t>
      </w:r>
      <w:r>
        <w:t xml:space="preserve">n </w:t>
      </w:r>
      <w:r>
        <w:rPr>
          <w:rFonts w:hint="eastAsia"/>
          <w:lang w:val="en-US" w:eastAsia="zh-CN"/>
        </w:rPr>
        <w:t>p</w:t>
      </w:r>
      <w:r>
        <w:t xml:space="preserve">ower </w:t>
      </w:r>
      <w:r>
        <w:rPr>
          <w:rFonts w:hint="eastAsia"/>
          <w:lang w:val="en-US" w:eastAsia="zh-CN"/>
        </w:rPr>
        <w:t>g</w:t>
      </w:r>
      <w:r>
        <w:t>rid. In: 2021 IEEE 5th Conf. Energy Internet Energy Syst. Integr. (EI2), pp. 2237–2241 (2021).</w:t>
      </w:r>
    </w:p>
    <w:p w14:paraId="05EF6FC9">
      <w:pPr>
        <w:ind w:firstLine="199" w:firstLineChars="133"/>
        <w:rPr>
          <w:spacing w:val="0"/>
          <w:sz w:val="15"/>
        </w:rPr>
        <w:sectPr>
          <w:headerReference r:id="rId13" w:type="first"/>
          <w:headerReference r:id="rId11" w:type="default"/>
          <w:headerReference r:id="rId12" w:type="even"/>
          <w:type w:val="continuous"/>
          <w:pgSz w:w="11907" w:h="16160"/>
          <w:pgMar w:top="1474" w:right="1077" w:bottom="851" w:left="1077" w:header="680" w:footer="680" w:gutter="0"/>
          <w:pgNumType w:start="17"/>
          <w:cols w:space="409" w:num="2"/>
          <w:titlePg/>
          <w:docGrid w:type="lines" w:linePitch="312" w:charSpace="0"/>
        </w:sectPr>
      </w:pPr>
    </w:p>
    <w:p w14:paraId="27B855B8">
      <w:pPr>
        <w:ind w:firstLine="400"/>
        <w:rPr>
          <w:spacing w:val="0"/>
        </w:rPr>
      </w:pPr>
    </w:p>
    <w:sectPr>
      <w:type w:val="continuous"/>
      <w:pgSz w:w="11907" w:h="16160"/>
      <w:pgMar w:top="1474" w:right="1077" w:bottom="851" w:left="1077" w:header="680" w:footer="680" w:gutter="0"/>
      <w:pgNumType w:start="1"/>
      <w:cols w:space="409"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424"/>
      </w:pPr>
      <w:r>
        <w:separator/>
      </w:r>
    </w:p>
  </w:endnote>
  <w:endnote w:type="continuationSeparator" w:id="1">
    <w:p>
      <w:pPr>
        <w:ind w:firstLine="424"/>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方正小标宋简体">
    <w:panose1 w:val="02000000000000000000"/>
    <w:charset w:val="86"/>
    <w:family w:val="auto"/>
    <w:pitch w:val="default"/>
    <w:sig w:usb0="00000001" w:usb1="08000000" w:usb2="00000000" w:usb3="00000000" w:csb0="00040000" w:csb1="00000000"/>
  </w:font>
  <w:font w:name="MS Mincho">
    <w:altName w:val="Yu Gothic UI"/>
    <w:panose1 w:val="02020609040205080304"/>
    <w:charset w:val="80"/>
    <w:family w:val="modern"/>
    <w:pitch w:val="default"/>
    <w:sig w:usb0="00000000" w:usb1="00000000" w:usb2="08000012" w:usb3="00000000" w:csb0="0002009F" w:csb1="00000000"/>
  </w:font>
  <w:font w:name="TimesNewRomanPS-BoldMT">
    <w:altName w:val="Times New Roman"/>
    <w:panose1 w:val="00000000000000000000"/>
    <w:charset w:val="00"/>
    <w:family w:val="roman"/>
    <w:pitch w:val="default"/>
    <w:sig w:usb0="00000000" w:usb1="00000000" w:usb2="00000000" w:usb3="00000000" w:csb0="00000000" w:csb1="00000000"/>
  </w:font>
  <w:font w:name="TimesNewRoman">
    <w:altName w:val="Times New Roman"/>
    <w:panose1 w:val="00000000000000000000"/>
    <w:charset w:val="00"/>
    <w:family w:val="roman"/>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Tahoma">
    <w:panose1 w:val="020B0604030504040204"/>
    <w:charset w:val="00"/>
    <w:family w:val="auto"/>
    <w:pitch w:val="default"/>
    <w:sig w:usb0="E1002EFF" w:usb1="C000605B" w:usb2="00000029" w:usb3="00000000" w:csb0="200101FF" w:csb1="2028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20834">
    <w:pPr>
      <w:pStyle w:val="18"/>
      <w:ind w:firstLine="38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0CBA4">
    <w:pPr>
      <w:pStyle w:val="18"/>
      <w:ind w:firstLine="38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65A60">
    <w:pPr>
      <w:pStyle w:val="18"/>
      <w:ind w:firstLine="38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424"/>
      </w:pPr>
      <w:r>
        <w:separator/>
      </w:r>
    </w:p>
  </w:footnote>
  <w:footnote w:type="continuationSeparator" w:id="1">
    <w:p>
      <w:pPr>
        <w:ind w:firstLine="424"/>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BEC1D">
    <w:pPr>
      <w:pStyle w:val="19"/>
      <w:pBdr>
        <w:bottom w:val="none" w:color="auto" w:sz="0" w:space="0"/>
      </w:pBdr>
      <w:tabs>
        <w:tab w:val="center" w:pos="4816"/>
        <w:tab w:val="right" w:pos="9603"/>
        <w:tab w:val="clear" w:pos="4153"/>
        <w:tab w:val="clear" w:pos="8306"/>
      </w:tabs>
      <w:ind w:right="10" w:firstLine="504"/>
      <w:jc w:val="both"/>
      <w:rPr>
        <w:sz w:val="24"/>
      </w:rPr>
    </w:pPr>
  </w:p>
  <w:p w14:paraId="671DC65C">
    <w:pPr>
      <w:pStyle w:val="19"/>
      <w:pBdr>
        <w:bottom w:val="single" w:color="auto" w:sz="2" w:space="1"/>
      </w:pBdr>
      <w:tabs>
        <w:tab w:val="center" w:pos="4816"/>
        <w:tab w:val="right" w:pos="9603"/>
        <w:tab w:val="clear" w:pos="4153"/>
        <w:tab w:val="clear" w:pos="8306"/>
      </w:tabs>
      <w:ind w:right="10" w:firstLine="384"/>
      <w:jc w:val="both"/>
    </w:pPr>
    <w:r>
      <w:rPr>
        <w:rFonts w:hint="eastAsia"/>
      </w:rPr>
      <w:t>第</w:t>
    </w:r>
    <w:r>
      <w:t>20</w:t>
    </w:r>
    <w:r>
      <w:rPr>
        <w:rFonts w:hint="eastAsia"/>
      </w:rPr>
      <w:t>卷第3期</w:t>
    </w:r>
    <w:r>
      <w:rPr>
        <w:rFonts w:hint="eastAsia"/>
      </w:rPr>
      <w:tab/>
    </w:r>
    <w:r>
      <w:rPr>
        <w:rFonts w:hint="eastAsia" w:eastAsia="楷体_GB2312"/>
      </w:rPr>
      <w:t>石健将</w:t>
    </w:r>
    <w:r>
      <w:rPr>
        <w:rFonts w:hint="eastAsia"/>
      </w:rPr>
      <w:t>等  一种输入端自然均流/高电压增益组合式变换器研究</w:t>
    </w:r>
    <w:r>
      <w:rPr>
        <w:rFonts w:hint="eastAsia"/>
      </w:rPr>
      <w:tab/>
    </w:r>
    <w:r>
      <w:rPr>
        <w:rStyle w:val="27"/>
      </w:rPr>
      <w:fldChar w:fldCharType="begin"/>
    </w:r>
    <w:r>
      <w:rPr>
        <w:rStyle w:val="27"/>
      </w:rPr>
      <w:instrText xml:space="preserve"> PAGE </w:instrText>
    </w:r>
    <w:r>
      <w:rPr>
        <w:rStyle w:val="27"/>
      </w:rPr>
      <w:fldChar w:fldCharType="separate"/>
    </w:r>
    <w:r>
      <w:rPr>
        <w:rStyle w:val="27"/>
      </w:rPr>
      <w:t>15</w:t>
    </w:r>
    <w:r>
      <w:rPr>
        <w:rStyle w:val="27"/>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9232E8">
    <w:pPr>
      <w:pStyle w:val="19"/>
      <w:pBdr>
        <w:bottom w:val="none" w:color="auto" w:sz="0" w:space="0"/>
      </w:pBdr>
      <w:tabs>
        <w:tab w:val="center" w:pos="4802"/>
        <w:tab w:val="right" w:pos="9757"/>
        <w:tab w:val="clear" w:pos="4153"/>
        <w:tab w:val="clear" w:pos="8306"/>
      </w:tabs>
      <w:ind w:right="-4" w:rightChars="-2" w:firstLine="192" w:firstLineChars="100"/>
      <w:jc w:val="both"/>
      <w:rPr>
        <w:rStyle w:val="27"/>
      </w:rPr>
    </w:pPr>
  </w:p>
  <w:p w14:paraId="62B7D1C9">
    <w:pPr>
      <w:pStyle w:val="19"/>
      <w:pBdr>
        <w:bottom w:val="single" w:color="auto" w:sz="2" w:space="1"/>
      </w:pBdr>
      <w:tabs>
        <w:tab w:val="center" w:pos="4732"/>
        <w:tab w:val="right" w:pos="9757"/>
        <w:tab w:val="clear" w:pos="4153"/>
        <w:tab w:val="clear" w:pos="8306"/>
      </w:tabs>
      <w:ind w:right="79" w:firstLine="192" w:firstLineChars="100"/>
      <w:jc w:val="both"/>
    </w:pPr>
    <w:r>
      <w:rPr>
        <w:rStyle w:val="27"/>
      </w:rPr>
      <w:fldChar w:fldCharType="begin"/>
    </w:r>
    <w:r>
      <w:rPr>
        <w:rStyle w:val="27"/>
      </w:rPr>
      <w:instrText xml:space="preserve"> PAGE </w:instrText>
    </w:r>
    <w:r>
      <w:rPr>
        <w:rStyle w:val="27"/>
      </w:rPr>
      <w:fldChar w:fldCharType="separate"/>
    </w:r>
    <w:r>
      <w:rPr>
        <w:rStyle w:val="27"/>
      </w:rPr>
      <w:t>2</w:t>
    </w:r>
    <w:r>
      <w:rPr>
        <w:rStyle w:val="27"/>
      </w:rPr>
      <w:fldChar w:fldCharType="end"/>
    </w:r>
    <w:r>
      <w:rPr>
        <w:rStyle w:val="27"/>
      </w:rPr>
      <w:tab/>
    </w:r>
    <w:r>
      <w:rPr>
        <w:rStyle w:val="27"/>
        <w:rFonts w:hint="eastAsia"/>
      </w:rPr>
      <w:t>电</w:t>
    </w:r>
    <w:r>
      <w:rPr>
        <w:rStyle w:val="27"/>
      </w:rPr>
      <w:t xml:space="preserve"> </w:t>
    </w:r>
    <w:r>
      <w:rPr>
        <w:rStyle w:val="27"/>
        <w:rFonts w:hint="eastAsia"/>
      </w:rPr>
      <w:t>工</w:t>
    </w:r>
    <w:r>
      <w:rPr>
        <w:rStyle w:val="27"/>
      </w:rPr>
      <w:t xml:space="preserve"> </w:t>
    </w:r>
    <w:r>
      <w:rPr>
        <w:rStyle w:val="27"/>
        <w:rFonts w:hint="eastAsia"/>
      </w:rPr>
      <w:t>技</w:t>
    </w:r>
    <w:r>
      <w:rPr>
        <w:rStyle w:val="27"/>
      </w:rPr>
      <w:t xml:space="preserve"> </w:t>
    </w:r>
    <w:r>
      <w:rPr>
        <w:rStyle w:val="27"/>
        <w:rFonts w:hint="eastAsia"/>
      </w:rPr>
      <w:t>术</w:t>
    </w:r>
    <w:r>
      <w:rPr>
        <w:rStyle w:val="27"/>
      </w:rPr>
      <w:t xml:space="preserve"> </w:t>
    </w:r>
    <w:r>
      <w:rPr>
        <w:rStyle w:val="27"/>
        <w:rFonts w:hint="eastAsia"/>
      </w:rPr>
      <w:t>学</w:t>
    </w:r>
    <w:r>
      <w:rPr>
        <w:rStyle w:val="27"/>
      </w:rPr>
      <w:t xml:space="preserve"> </w:t>
    </w:r>
    <w:r>
      <w:rPr>
        <w:rStyle w:val="27"/>
        <w:rFonts w:hint="eastAsia"/>
      </w:rPr>
      <w:t>报</w:t>
    </w:r>
    <w:r>
      <w:rPr>
        <w:rStyle w:val="27"/>
      </w:rPr>
      <w:tab/>
    </w:r>
    <w:r>
      <w:rPr>
        <w:rStyle w:val="27"/>
      </w:rPr>
      <w:t>2022</w:t>
    </w:r>
    <w:r>
      <w:rPr>
        <w:rStyle w:val="27"/>
        <w:rFonts w:hint="eastAsia"/>
      </w:rPr>
      <w:t>年</w:t>
    </w:r>
    <w:r>
      <w:rPr>
        <w:rStyle w:val="27"/>
      </w:rPr>
      <w:t>3</w:t>
    </w:r>
    <w:r>
      <w:rPr>
        <w:rStyle w:val="27"/>
        <w:rFonts w:hint="eastAsia"/>
      </w:rPr>
      <w:t>月</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7F63D4">
    <w:pPr>
      <w:pStyle w:val="19"/>
      <w:pBdr>
        <w:bottom w:val="none" w:color="auto" w:sz="0" w:space="0"/>
      </w:pBdr>
      <w:ind w:firstLine="38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BA281">
    <w:pPr>
      <w:pStyle w:val="19"/>
      <w:ind w:firstLine="38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9D5F2C">
    <w:pPr>
      <w:pStyle w:val="19"/>
      <w:ind w:firstLine="384"/>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DC9C6D">
    <w:pPr>
      <w:pStyle w:val="19"/>
      <w:pBdr>
        <w:bottom w:val="none" w:color="auto" w:sz="0" w:space="0"/>
      </w:pBdr>
      <w:tabs>
        <w:tab w:val="center" w:pos="4816"/>
        <w:tab w:val="right" w:pos="9603"/>
        <w:tab w:val="clear" w:pos="4153"/>
        <w:tab w:val="clear" w:pos="8306"/>
      </w:tabs>
      <w:ind w:right="10" w:firstLine="504"/>
      <w:jc w:val="both"/>
      <w:rPr>
        <w:sz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4CE54B"/>
    <w:multiLevelType w:val="singleLevel"/>
    <w:tmpl w:val="9A4CE54B"/>
    <w:lvl w:ilvl="0" w:tentative="0">
      <w:start w:val="1"/>
      <w:numFmt w:val="decimal"/>
      <w:suff w:val="space"/>
      <w:lvlText w:val="%1."/>
      <w:lvlJc w:val="left"/>
    </w:lvl>
  </w:abstractNum>
  <w:abstractNum w:abstractNumId="1">
    <w:nsid w:val="160E1AAC"/>
    <w:multiLevelType w:val="singleLevel"/>
    <w:tmpl w:val="160E1AAC"/>
    <w:lvl w:ilvl="0" w:tentative="0">
      <w:start w:val="1"/>
      <w:numFmt w:val="decimal"/>
      <w:suff w:val="space"/>
      <w:lvlText w:val="%1."/>
      <w:lvlJc w:val="left"/>
    </w:lvl>
  </w:abstractNum>
  <w:abstractNum w:abstractNumId="2">
    <w:nsid w:val="24C3D1F2"/>
    <w:multiLevelType w:val="singleLevel"/>
    <w:tmpl w:val="24C3D1F2"/>
    <w:lvl w:ilvl="0" w:tentative="0">
      <w:start w:val="1"/>
      <w:numFmt w:val="decimal"/>
      <w:suff w:val="space"/>
      <w:lvlText w:val="%1."/>
      <w:lvlJc w:val="left"/>
    </w:lvl>
  </w:abstractNum>
  <w:abstractNum w:abstractNumId="3">
    <w:nsid w:val="37660336"/>
    <w:multiLevelType w:val="multilevel"/>
    <w:tmpl w:val="37660336"/>
    <w:lvl w:ilvl="0" w:tentative="0">
      <w:start w:val="1"/>
      <w:numFmt w:val="bullet"/>
      <w:pStyle w:val="54"/>
      <w:lvlText w:val=""/>
      <w:lvlJc w:val="left"/>
      <w:pPr>
        <w:tabs>
          <w:tab w:val="left" w:pos="648"/>
        </w:tabs>
        <w:ind w:left="64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52CA544A"/>
    <w:multiLevelType w:val="singleLevel"/>
    <w:tmpl w:val="52CA544A"/>
    <w:lvl w:ilvl="0" w:tentative="0">
      <w:start w:val="1"/>
      <w:numFmt w:val="decimal"/>
      <w:pStyle w:val="52"/>
      <w:lvlText w:val="[%1]"/>
      <w:lvlJc w:val="left"/>
      <w:pPr>
        <w:tabs>
          <w:tab w:val="left" w:pos="5040"/>
        </w:tabs>
        <w:ind w:left="5040" w:hanging="360"/>
      </w:pPr>
      <w:rPr>
        <w:rFonts w:hint="default" w:ascii="Times New Roman" w:hAnsi="Times New Roman" w:cs="Times New Roman"/>
        <w:b w:val="0"/>
        <w:bCs w:val="0"/>
        <w:i w:val="0"/>
        <w:iCs w:val="0"/>
        <w:sz w:val="16"/>
        <w:szCs w:val="16"/>
      </w:rPr>
    </w:lvl>
  </w:abstractNum>
  <w:abstractNum w:abstractNumId="5">
    <w:nsid w:val="63B56C01"/>
    <w:multiLevelType w:val="multilevel"/>
    <w:tmpl w:val="63B56C01"/>
    <w:lvl w:ilvl="0" w:tentative="0">
      <w:start w:val="1"/>
      <w:numFmt w:val="decimal"/>
      <w:isLgl/>
      <w:lvlText w:val="%1."/>
      <w:lvlJc w:val="left"/>
      <w:pPr>
        <w:tabs>
          <w:tab w:val="left" w:pos="360"/>
        </w:tabs>
        <w:ind w:left="0" w:firstLine="0"/>
      </w:pPr>
      <w:rPr>
        <w:rFonts w:hint="default" w:ascii="Times New Roman" w:hAnsi="Times New Roman"/>
        <w:b/>
        <w:i w:val="0"/>
      </w:rPr>
    </w:lvl>
    <w:lvl w:ilvl="1" w:tentative="0">
      <w:start w:val="1"/>
      <w:numFmt w:val="decimal"/>
      <w:isLgl/>
      <w:lvlText w:val="%1.%2"/>
      <w:lvlJc w:val="left"/>
      <w:pPr>
        <w:tabs>
          <w:tab w:val="left" w:pos="720"/>
        </w:tabs>
        <w:ind w:left="0" w:firstLine="0"/>
      </w:pPr>
      <w:rPr>
        <w:rFonts w:hint="default" w:ascii="Times New Roman" w:hAnsi="Times New Roman"/>
        <w:b/>
        <w:i w:val="0"/>
      </w:rPr>
    </w:lvl>
    <w:lvl w:ilvl="2" w:tentative="0">
      <w:start w:val="1"/>
      <w:numFmt w:val="decimal"/>
      <w:isLgl/>
      <w:lvlText w:val="%1.%2.%3"/>
      <w:lvlJc w:val="left"/>
      <w:pPr>
        <w:tabs>
          <w:tab w:val="left" w:pos="1080"/>
        </w:tabs>
        <w:ind w:left="0" w:firstLine="0"/>
      </w:pPr>
      <w:rPr>
        <w:rFonts w:hint="default" w:ascii="Times New Roman" w:hAnsi="Times New Roman"/>
        <w:b/>
        <w:i w:val="0"/>
      </w:rPr>
    </w:lvl>
    <w:lvl w:ilvl="3" w:tentative="0">
      <w:start w:val="1"/>
      <w:numFmt w:val="decimal"/>
      <w:lvlRestart w:val="0"/>
      <w:isLgl/>
      <w:lvlText w:val="%1.%2.%3.%4"/>
      <w:lvlJc w:val="left"/>
      <w:pPr>
        <w:tabs>
          <w:tab w:val="left" w:pos="1440"/>
        </w:tabs>
        <w:ind w:left="0" w:firstLine="0"/>
      </w:pPr>
      <w:rPr>
        <w:rFonts w:hint="default" w:ascii="Times New Roman" w:hAnsi="Times New Roman"/>
        <w:b/>
        <w:i w:val="0"/>
      </w:rPr>
    </w:lvl>
    <w:lvl w:ilvl="4" w:tentative="0">
      <w:start w:val="1"/>
      <w:numFmt w:val="decimal"/>
      <w:lvlRestart w:val="0"/>
      <w:isLgl/>
      <w:lvlText w:val="%1.%2.%3.%4.%5"/>
      <w:lvlJc w:val="left"/>
      <w:pPr>
        <w:tabs>
          <w:tab w:val="left" w:pos="1800"/>
        </w:tabs>
        <w:ind w:left="0" w:firstLine="0"/>
      </w:pPr>
      <w:rPr>
        <w:rFonts w:hint="default" w:ascii="Times New Roman" w:hAnsi="Times New Roman"/>
        <w:b/>
        <w:i w:val="0"/>
      </w:rPr>
    </w:lvl>
    <w:lvl w:ilvl="5" w:tentative="0">
      <w:start w:val="1"/>
      <w:numFmt w:val="decimal"/>
      <w:lvlRestart w:val="0"/>
      <w:pStyle w:val="8"/>
      <w:isLgl/>
      <w:lvlText w:val="%1.%2.%3.%4.%5.%6"/>
      <w:lvlJc w:val="left"/>
      <w:pPr>
        <w:tabs>
          <w:tab w:val="left" w:pos="2160"/>
        </w:tabs>
        <w:ind w:left="0" w:firstLine="0"/>
      </w:pPr>
      <w:rPr>
        <w:rFonts w:hint="default" w:ascii="Times New Roman" w:hAnsi="Times New Roman"/>
        <w:b/>
        <w:i w:val="0"/>
      </w:rPr>
    </w:lvl>
    <w:lvl w:ilvl="6" w:tentative="0">
      <w:start w:val="1"/>
      <w:numFmt w:val="decimal"/>
      <w:lvlRestart w:val="0"/>
      <w:pStyle w:val="9"/>
      <w:isLgl/>
      <w:lvlText w:val="%1.%2.%3.%4.%5.%6.%7"/>
      <w:lvlJc w:val="left"/>
      <w:pPr>
        <w:tabs>
          <w:tab w:val="left" w:pos="2520"/>
        </w:tabs>
        <w:ind w:left="0" w:firstLine="0"/>
      </w:pPr>
      <w:rPr>
        <w:rFonts w:hint="default" w:ascii="Times New Roman" w:hAnsi="Times New Roman"/>
        <w:b/>
        <w:i w:val="0"/>
      </w:rPr>
    </w:lvl>
    <w:lvl w:ilvl="7" w:tentative="0">
      <w:start w:val="1"/>
      <w:numFmt w:val="decimal"/>
      <w:lvlRestart w:val="0"/>
      <w:pStyle w:val="10"/>
      <w:isLgl/>
      <w:lvlText w:val="%1.%2.%3.%4.%5.%6.%7.%8"/>
      <w:lvlJc w:val="left"/>
      <w:pPr>
        <w:tabs>
          <w:tab w:val="left" w:pos="2880"/>
        </w:tabs>
        <w:ind w:left="0" w:firstLine="0"/>
      </w:pPr>
      <w:rPr>
        <w:rFonts w:hint="default" w:ascii="Times New Roman" w:hAnsi="Times New Roman"/>
        <w:b/>
        <w:i w:val="0"/>
      </w:rPr>
    </w:lvl>
    <w:lvl w:ilvl="8" w:tentative="0">
      <w:start w:val="1"/>
      <w:numFmt w:val="decimal"/>
      <w:lvlRestart w:val="0"/>
      <w:pStyle w:val="11"/>
      <w:isLgl/>
      <w:lvlText w:val="%1.%2.%3.%4.%5.%6.%7.%8.%9"/>
      <w:lvlJc w:val="left"/>
      <w:pPr>
        <w:tabs>
          <w:tab w:val="left" w:pos="2880"/>
        </w:tabs>
        <w:ind w:left="0" w:firstLine="0"/>
      </w:pPr>
      <w:rPr>
        <w:rFonts w:hint="default" w:ascii="Times New Roman" w:hAnsi="Times New Roman"/>
        <w:b/>
        <w:i w:val="0"/>
      </w:rPr>
    </w:lvl>
  </w:abstractNum>
  <w:abstractNum w:abstractNumId="6">
    <w:nsid w:val="72667460"/>
    <w:multiLevelType w:val="singleLevel"/>
    <w:tmpl w:val="72667460"/>
    <w:lvl w:ilvl="0" w:tentative="0">
      <w:start w:val="1"/>
      <w:numFmt w:val="decimal"/>
      <w:suff w:val="space"/>
      <w:lvlText w:val="%1."/>
      <w:lvlJc w:val="left"/>
    </w:lvl>
  </w:abstractNum>
  <w:abstractNum w:abstractNumId="7">
    <w:nsid w:val="78574035"/>
    <w:multiLevelType w:val="singleLevel"/>
    <w:tmpl w:val="78574035"/>
    <w:lvl w:ilvl="0" w:tentative="0">
      <w:start w:val="1"/>
      <w:numFmt w:val="decimal"/>
      <w:suff w:val="space"/>
      <w:lvlText w:val="%1."/>
      <w:lvlJc w:val="left"/>
    </w:lvl>
  </w:abstractNum>
  <w:num w:numId="1">
    <w:abstractNumId w:val="5"/>
  </w:num>
  <w:num w:numId="2">
    <w:abstractNumId w:val="4"/>
  </w:num>
  <w:num w:numId="3">
    <w:abstractNumId w:val="3"/>
  </w:num>
  <w:num w:numId="4">
    <w:abstractNumId w:val="6"/>
  </w:num>
  <w:num w:numId="5">
    <w:abstractNumId w:val="0"/>
  </w:num>
  <w:num w:numId="6">
    <w:abstractNumId w:val="1"/>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bordersDoNotSurroundHeader w:val="0"/>
  <w:bordersDoNotSurroundFooter w:val="0"/>
  <w:hideSpellingErrors/>
  <w:hideGrammaticalErrors/>
  <w:documentProtection w:enforcement="0"/>
  <w:defaultTabStop w:val="420"/>
  <w:evenAndOddHeaders w:val="1"/>
  <w:drawingGridHorizontalSpacing w:val="106"/>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yNDIwMTcyNLMwNjIzNLFU0lEKTi0uzszPAykwrQUAvQ4SniwAAAA="/>
    <w:docVar w:name="commondata" w:val="eyJoZGlkIjoiZTNhYzkxNTUyMjg4NTBmMGE2Y2RlNDI5NGQwMDAyNWIifQ=="/>
    <w:docVar w:name="EN.InstantFormat" w:val="&lt;ENInstantFormat&gt;&lt;Enabled&gt;1&lt;/Enabled&gt;&lt;ScanUnformatted&gt;1&lt;/ScanUnformatted&gt;&lt;ScanChanges&gt;1&lt;/ScanChanges&gt;&lt;Suspended&gt;1&lt;/Suspended&gt;&lt;/ENInstantFormat&gt;"/>
  </w:docVars>
  <w:rsids>
    <w:rsidRoot w:val="00634A45"/>
    <w:rsid w:val="00007177"/>
    <w:rsid w:val="00007252"/>
    <w:rsid w:val="00010FEC"/>
    <w:rsid w:val="000112DE"/>
    <w:rsid w:val="000135DE"/>
    <w:rsid w:val="0001504F"/>
    <w:rsid w:val="000179C5"/>
    <w:rsid w:val="0002102A"/>
    <w:rsid w:val="00023D74"/>
    <w:rsid w:val="00024B1F"/>
    <w:rsid w:val="000274D9"/>
    <w:rsid w:val="0003302E"/>
    <w:rsid w:val="00034CB1"/>
    <w:rsid w:val="00035349"/>
    <w:rsid w:val="00036C0D"/>
    <w:rsid w:val="00037B5F"/>
    <w:rsid w:val="000416AC"/>
    <w:rsid w:val="00043961"/>
    <w:rsid w:val="00046A3D"/>
    <w:rsid w:val="00047A1E"/>
    <w:rsid w:val="0005029E"/>
    <w:rsid w:val="000506FA"/>
    <w:rsid w:val="000522EE"/>
    <w:rsid w:val="00052771"/>
    <w:rsid w:val="00052B7A"/>
    <w:rsid w:val="00052C23"/>
    <w:rsid w:val="00057E15"/>
    <w:rsid w:val="00060B46"/>
    <w:rsid w:val="00061529"/>
    <w:rsid w:val="00061839"/>
    <w:rsid w:val="00062308"/>
    <w:rsid w:val="0006288E"/>
    <w:rsid w:val="00067793"/>
    <w:rsid w:val="00071CB6"/>
    <w:rsid w:val="00075570"/>
    <w:rsid w:val="0007593A"/>
    <w:rsid w:val="000761F1"/>
    <w:rsid w:val="00076303"/>
    <w:rsid w:val="00081540"/>
    <w:rsid w:val="000816DD"/>
    <w:rsid w:val="00083A4D"/>
    <w:rsid w:val="00085FD1"/>
    <w:rsid w:val="00087747"/>
    <w:rsid w:val="00095AF9"/>
    <w:rsid w:val="00096765"/>
    <w:rsid w:val="00096D83"/>
    <w:rsid w:val="000A2119"/>
    <w:rsid w:val="000A23F1"/>
    <w:rsid w:val="000A4E1F"/>
    <w:rsid w:val="000A5F06"/>
    <w:rsid w:val="000B083A"/>
    <w:rsid w:val="000B0FFA"/>
    <w:rsid w:val="000B14BE"/>
    <w:rsid w:val="000B1DBB"/>
    <w:rsid w:val="000B1EA6"/>
    <w:rsid w:val="000B30C7"/>
    <w:rsid w:val="000B35DB"/>
    <w:rsid w:val="000B3C63"/>
    <w:rsid w:val="000B5C9F"/>
    <w:rsid w:val="000B7CEA"/>
    <w:rsid w:val="000C1BA0"/>
    <w:rsid w:val="000C4B2E"/>
    <w:rsid w:val="000C7F6C"/>
    <w:rsid w:val="000D0921"/>
    <w:rsid w:val="000D0F96"/>
    <w:rsid w:val="000D6CA7"/>
    <w:rsid w:val="000E1E48"/>
    <w:rsid w:val="000E3B7D"/>
    <w:rsid w:val="000E62C4"/>
    <w:rsid w:val="000E7461"/>
    <w:rsid w:val="000F2846"/>
    <w:rsid w:val="0010067D"/>
    <w:rsid w:val="00102AE7"/>
    <w:rsid w:val="001039BF"/>
    <w:rsid w:val="001052C4"/>
    <w:rsid w:val="00106A71"/>
    <w:rsid w:val="00107F1A"/>
    <w:rsid w:val="001104B2"/>
    <w:rsid w:val="00111665"/>
    <w:rsid w:val="00112541"/>
    <w:rsid w:val="00113DEA"/>
    <w:rsid w:val="00114D13"/>
    <w:rsid w:val="00116E44"/>
    <w:rsid w:val="00117A7A"/>
    <w:rsid w:val="0012392E"/>
    <w:rsid w:val="00123F5B"/>
    <w:rsid w:val="00125BDC"/>
    <w:rsid w:val="00126FB7"/>
    <w:rsid w:val="00127BE1"/>
    <w:rsid w:val="0013174E"/>
    <w:rsid w:val="00134F98"/>
    <w:rsid w:val="001356E6"/>
    <w:rsid w:val="00135D1A"/>
    <w:rsid w:val="00135D3F"/>
    <w:rsid w:val="001457EF"/>
    <w:rsid w:val="001464AD"/>
    <w:rsid w:val="00146C78"/>
    <w:rsid w:val="00146CDE"/>
    <w:rsid w:val="00147DBA"/>
    <w:rsid w:val="0015429B"/>
    <w:rsid w:val="00162BE0"/>
    <w:rsid w:val="00164B66"/>
    <w:rsid w:val="00165A87"/>
    <w:rsid w:val="00171408"/>
    <w:rsid w:val="00172BDF"/>
    <w:rsid w:val="001739EB"/>
    <w:rsid w:val="00174085"/>
    <w:rsid w:val="00175B7E"/>
    <w:rsid w:val="00177EAC"/>
    <w:rsid w:val="00182254"/>
    <w:rsid w:val="001828B7"/>
    <w:rsid w:val="001829C5"/>
    <w:rsid w:val="001838F3"/>
    <w:rsid w:val="00186FC3"/>
    <w:rsid w:val="0019110B"/>
    <w:rsid w:val="00196F5D"/>
    <w:rsid w:val="001A07F1"/>
    <w:rsid w:val="001A313E"/>
    <w:rsid w:val="001B29BE"/>
    <w:rsid w:val="001B38A3"/>
    <w:rsid w:val="001B411A"/>
    <w:rsid w:val="001B4918"/>
    <w:rsid w:val="001B4C1D"/>
    <w:rsid w:val="001C128F"/>
    <w:rsid w:val="001C4375"/>
    <w:rsid w:val="001C5EDC"/>
    <w:rsid w:val="001C7CB6"/>
    <w:rsid w:val="001D1B2D"/>
    <w:rsid w:val="001D2037"/>
    <w:rsid w:val="001D4E44"/>
    <w:rsid w:val="001D61C5"/>
    <w:rsid w:val="001D7114"/>
    <w:rsid w:val="001E03CD"/>
    <w:rsid w:val="001E3B4A"/>
    <w:rsid w:val="001E3F12"/>
    <w:rsid w:val="001E6629"/>
    <w:rsid w:val="001E67B4"/>
    <w:rsid w:val="001E7443"/>
    <w:rsid w:val="001E7EC6"/>
    <w:rsid w:val="001F1413"/>
    <w:rsid w:val="001F1634"/>
    <w:rsid w:val="001F2006"/>
    <w:rsid w:val="001F5D8C"/>
    <w:rsid w:val="001F7405"/>
    <w:rsid w:val="001F76B7"/>
    <w:rsid w:val="0020211F"/>
    <w:rsid w:val="00202D06"/>
    <w:rsid w:val="00204020"/>
    <w:rsid w:val="00204628"/>
    <w:rsid w:val="00206EE8"/>
    <w:rsid w:val="002071CD"/>
    <w:rsid w:val="00207776"/>
    <w:rsid w:val="00211E31"/>
    <w:rsid w:val="0021372C"/>
    <w:rsid w:val="002140D6"/>
    <w:rsid w:val="002167F3"/>
    <w:rsid w:val="00221943"/>
    <w:rsid w:val="00226224"/>
    <w:rsid w:val="002265A0"/>
    <w:rsid w:val="00226C87"/>
    <w:rsid w:val="00226F61"/>
    <w:rsid w:val="00240A01"/>
    <w:rsid w:val="00241069"/>
    <w:rsid w:val="00244927"/>
    <w:rsid w:val="002516DC"/>
    <w:rsid w:val="0025613D"/>
    <w:rsid w:val="00260411"/>
    <w:rsid w:val="002673C9"/>
    <w:rsid w:val="00267877"/>
    <w:rsid w:val="002704DA"/>
    <w:rsid w:val="002712CD"/>
    <w:rsid w:val="00271905"/>
    <w:rsid w:val="00272869"/>
    <w:rsid w:val="00274CD1"/>
    <w:rsid w:val="0027569A"/>
    <w:rsid w:val="002760AE"/>
    <w:rsid w:val="00280151"/>
    <w:rsid w:val="00281B22"/>
    <w:rsid w:val="00283BFE"/>
    <w:rsid w:val="00284EB6"/>
    <w:rsid w:val="0029111D"/>
    <w:rsid w:val="002940EE"/>
    <w:rsid w:val="00294A54"/>
    <w:rsid w:val="00294F56"/>
    <w:rsid w:val="002A267C"/>
    <w:rsid w:val="002A6CA2"/>
    <w:rsid w:val="002A7B40"/>
    <w:rsid w:val="002B0381"/>
    <w:rsid w:val="002B1FD9"/>
    <w:rsid w:val="002B47FF"/>
    <w:rsid w:val="002B5DC0"/>
    <w:rsid w:val="002B5E75"/>
    <w:rsid w:val="002B7D81"/>
    <w:rsid w:val="002C2965"/>
    <w:rsid w:val="002C3ABE"/>
    <w:rsid w:val="002C7C03"/>
    <w:rsid w:val="002D0981"/>
    <w:rsid w:val="002D2170"/>
    <w:rsid w:val="002D4058"/>
    <w:rsid w:val="002E03F9"/>
    <w:rsid w:val="002E31D3"/>
    <w:rsid w:val="002E3F0D"/>
    <w:rsid w:val="002E468C"/>
    <w:rsid w:val="002E4721"/>
    <w:rsid w:val="002E49C4"/>
    <w:rsid w:val="002E512B"/>
    <w:rsid w:val="002E53D6"/>
    <w:rsid w:val="002E6839"/>
    <w:rsid w:val="002E6CF8"/>
    <w:rsid w:val="002E7968"/>
    <w:rsid w:val="002E7E22"/>
    <w:rsid w:val="002F270A"/>
    <w:rsid w:val="002F4FB9"/>
    <w:rsid w:val="00300591"/>
    <w:rsid w:val="00304132"/>
    <w:rsid w:val="00305DFF"/>
    <w:rsid w:val="00307CDD"/>
    <w:rsid w:val="00307ECC"/>
    <w:rsid w:val="00310DC3"/>
    <w:rsid w:val="0031614E"/>
    <w:rsid w:val="00322770"/>
    <w:rsid w:val="00325685"/>
    <w:rsid w:val="00326595"/>
    <w:rsid w:val="00326EF9"/>
    <w:rsid w:val="003305F0"/>
    <w:rsid w:val="00330FAF"/>
    <w:rsid w:val="00332DA7"/>
    <w:rsid w:val="00335219"/>
    <w:rsid w:val="00336C42"/>
    <w:rsid w:val="00340FA7"/>
    <w:rsid w:val="00341099"/>
    <w:rsid w:val="0034220B"/>
    <w:rsid w:val="00342E60"/>
    <w:rsid w:val="0034319B"/>
    <w:rsid w:val="003432D1"/>
    <w:rsid w:val="00350108"/>
    <w:rsid w:val="00351DDE"/>
    <w:rsid w:val="00352241"/>
    <w:rsid w:val="003527BD"/>
    <w:rsid w:val="00354E4D"/>
    <w:rsid w:val="00360166"/>
    <w:rsid w:val="003603BC"/>
    <w:rsid w:val="00362B13"/>
    <w:rsid w:val="0036588E"/>
    <w:rsid w:val="00371399"/>
    <w:rsid w:val="00372E27"/>
    <w:rsid w:val="00374140"/>
    <w:rsid w:val="00375C01"/>
    <w:rsid w:val="00380B20"/>
    <w:rsid w:val="003823AE"/>
    <w:rsid w:val="003831EF"/>
    <w:rsid w:val="00383E30"/>
    <w:rsid w:val="0038467B"/>
    <w:rsid w:val="003860CF"/>
    <w:rsid w:val="003861FD"/>
    <w:rsid w:val="00390D77"/>
    <w:rsid w:val="00391118"/>
    <w:rsid w:val="00391BE5"/>
    <w:rsid w:val="0039217D"/>
    <w:rsid w:val="00396F2A"/>
    <w:rsid w:val="003976DD"/>
    <w:rsid w:val="003A4E97"/>
    <w:rsid w:val="003A6D7B"/>
    <w:rsid w:val="003B3B67"/>
    <w:rsid w:val="003B5AA2"/>
    <w:rsid w:val="003B7A1C"/>
    <w:rsid w:val="003C0303"/>
    <w:rsid w:val="003C251E"/>
    <w:rsid w:val="003C55E0"/>
    <w:rsid w:val="003C582B"/>
    <w:rsid w:val="003D4E99"/>
    <w:rsid w:val="003E136E"/>
    <w:rsid w:val="003E2E6B"/>
    <w:rsid w:val="003E4F24"/>
    <w:rsid w:val="003F0ED8"/>
    <w:rsid w:val="003F1417"/>
    <w:rsid w:val="003F1FC4"/>
    <w:rsid w:val="003F5BA2"/>
    <w:rsid w:val="003F69BA"/>
    <w:rsid w:val="003F72DC"/>
    <w:rsid w:val="003F7DB5"/>
    <w:rsid w:val="004066CA"/>
    <w:rsid w:val="00407DBA"/>
    <w:rsid w:val="004108AC"/>
    <w:rsid w:val="00411365"/>
    <w:rsid w:val="00412C55"/>
    <w:rsid w:val="004137A4"/>
    <w:rsid w:val="0041385F"/>
    <w:rsid w:val="00413894"/>
    <w:rsid w:val="004152C5"/>
    <w:rsid w:val="00416AB3"/>
    <w:rsid w:val="004214B5"/>
    <w:rsid w:val="004226B1"/>
    <w:rsid w:val="00426954"/>
    <w:rsid w:val="00430442"/>
    <w:rsid w:val="0043432D"/>
    <w:rsid w:val="004355EC"/>
    <w:rsid w:val="004364F1"/>
    <w:rsid w:val="0044022C"/>
    <w:rsid w:val="00442874"/>
    <w:rsid w:val="00444D9F"/>
    <w:rsid w:val="004459A9"/>
    <w:rsid w:val="004477C0"/>
    <w:rsid w:val="0045448F"/>
    <w:rsid w:val="004555AC"/>
    <w:rsid w:val="00456C64"/>
    <w:rsid w:val="00457208"/>
    <w:rsid w:val="004663E3"/>
    <w:rsid w:val="0046721E"/>
    <w:rsid w:val="0046771B"/>
    <w:rsid w:val="00467EC2"/>
    <w:rsid w:val="00470BE0"/>
    <w:rsid w:val="00476AEC"/>
    <w:rsid w:val="0048348F"/>
    <w:rsid w:val="004844B8"/>
    <w:rsid w:val="00484EBB"/>
    <w:rsid w:val="00495762"/>
    <w:rsid w:val="00495DC3"/>
    <w:rsid w:val="00496923"/>
    <w:rsid w:val="004A03C6"/>
    <w:rsid w:val="004A14CC"/>
    <w:rsid w:val="004B1E37"/>
    <w:rsid w:val="004C1CAE"/>
    <w:rsid w:val="004D141A"/>
    <w:rsid w:val="004D2FEC"/>
    <w:rsid w:val="004E0EF9"/>
    <w:rsid w:val="004E164B"/>
    <w:rsid w:val="004E1CBE"/>
    <w:rsid w:val="004E41A7"/>
    <w:rsid w:val="004E4FED"/>
    <w:rsid w:val="004E59CD"/>
    <w:rsid w:val="004E602F"/>
    <w:rsid w:val="004F244D"/>
    <w:rsid w:val="004F3118"/>
    <w:rsid w:val="004F34FF"/>
    <w:rsid w:val="004F4709"/>
    <w:rsid w:val="004F5082"/>
    <w:rsid w:val="004F6B77"/>
    <w:rsid w:val="004F7F95"/>
    <w:rsid w:val="00503354"/>
    <w:rsid w:val="00515BA4"/>
    <w:rsid w:val="00517181"/>
    <w:rsid w:val="00522313"/>
    <w:rsid w:val="005247E2"/>
    <w:rsid w:val="0053083B"/>
    <w:rsid w:val="00537508"/>
    <w:rsid w:val="005408F5"/>
    <w:rsid w:val="00543656"/>
    <w:rsid w:val="00545C1A"/>
    <w:rsid w:val="00545C7D"/>
    <w:rsid w:val="00545FC5"/>
    <w:rsid w:val="00547375"/>
    <w:rsid w:val="00551984"/>
    <w:rsid w:val="005527E2"/>
    <w:rsid w:val="0055318D"/>
    <w:rsid w:val="005532C0"/>
    <w:rsid w:val="00554C45"/>
    <w:rsid w:val="00555FC8"/>
    <w:rsid w:val="005571DF"/>
    <w:rsid w:val="00560437"/>
    <w:rsid w:val="005616A3"/>
    <w:rsid w:val="00561A7F"/>
    <w:rsid w:val="0056693A"/>
    <w:rsid w:val="005719EF"/>
    <w:rsid w:val="005727D5"/>
    <w:rsid w:val="005747AE"/>
    <w:rsid w:val="00575177"/>
    <w:rsid w:val="005771F9"/>
    <w:rsid w:val="0058326A"/>
    <w:rsid w:val="005835DD"/>
    <w:rsid w:val="00583F8F"/>
    <w:rsid w:val="005843AA"/>
    <w:rsid w:val="00586076"/>
    <w:rsid w:val="005875AE"/>
    <w:rsid w:val="005879CE"/>
    <w:rsid w:val="00591E3B"/>
    <w:rsid w:val="00593F82"/>
    <w:rsid w:val="00595407"/>
    <w:rsid w:val="00596D45"/>
    <w:rsid w:val="00597E4E"/>
    <w:rsid w:val="005A21CF"/>
    <w:rsid w:val="005A2BE2"/>
    <w:rsid w:val="005A3B4C"/>
    <w:rsid w:val="005A6CB0"/>
    <w:rsid w:val="005A73B5"/>
    <w:rsid w:val="005B11C4"/>
    <w:rsid w:val="005B1531"/>
    <w:rsid w:val="005B31B7"/>
    <w:rsid w:val="005B59E8"/>
    <w:rsid w:val="005C07EF"/>
    <w:rsid w:val="005C180D"/>
    <w:rsid w:val="005C365C"/>
    <w:rsid w:val="005C6ECA"/>
    <w:rsid w:val="005D088F"/>
    <w:rsid w:val="005D1233"/>
    <w:rsid w:val="005D13D3"/>
    <w:rsid w:val="005D4E8A"/>
    <w:rsid w:val="005D7D21"/>
    <w:rsid w:val="005E3729"/>
    <w:rsid w:val="005E38C3"/>
    <w:rsid w:val="005E3DBB"/>
    <w:rsid w:val="005F2A08"/>
    <w:rsid w:val="0060166E"/>
    <w:rsid w:val="006029AE"/>
    <w:rsid w:val="00603A4B"/>
    <w:rsid w:val="00604658"/>
    <w:rsid w:val="006049F9"/>
    <w:rsid w:val="0060618F"/>
    <w:rsid w:val="00606874"/>
    <w:rsid w:val="00610240"/>
    <w:rsid w:val="00613A5A"/>
    <w:rsid w:val="00613E39"/>
    <w:rsid w:val="006143A2"/>
    <w:rsid w:val="006154B4"/>
    <w:rsid w:val="006171C5"/>
    <w:rsid w:val="006231A5"/>
    <w:rsid w:val="00625D05"/>
    <w:rsid w:val="00626E37"/>
    <w:rsid w:val="0063059C"/>
    <w:rsid w:val="00634A45"/>
    <w:rsid w:val="00635304"/>
    <w:rsid w:val="00635E53"/>
    <w:rsid w:val="00637031"/>
    <w:rsid w:val="00641685"/>
    <w:rsid w:val="006429A8"/>
    <w:rsid w:val="006431A6"/>
    <w:rsid w:val="00644D69"/>
    <w:rsid w:val="00646007"/>
    <w:rsid w:val="006468BE"/>
    <w:rsid w:val="00647882"/>
    <w:rsid w:val="006479E9"/>
    <w:rsid w:val="006568A5"/>
    <w:rsid w:val="00660860"/>
    <w:rsid w:val="006644B3"/>
    <w:rsid w:val="00665CD7"/>
    <w:rsid w:val="00665F06"/>
    <w:rsid w:val="00670CCB"/>
    <w:rsid w:val="00670EF6"/>
    <w:rsid w:val="006734B9"/>
    <w:rsid w:val="00674D2A"/>
    <w:rsid w:val="00676A02"/>
    <w:rsid w:val="006771BE"/>
    <w:rsid w:val="0068395C"/>
    <w:rsid w:val="0068505E"/>
    <w:rsid w:val="00685211"/>
    <w:rsid w:val="00685C49"/>
    <w:rsid w:val="00685F47"/>
    <w:rsid w:val="00686369"/>
    <w:rsid w:val="00692F9A"/>
    <w:rsid w:val="006A02E2"/>
    <w:rsid w:val="006A1E70"/>
    <w:rsid w:val="006A2361"/>
    <w:rsid w:val="006A5E02"/>
    <w:rsid w:val="006B2A0F"/>
    <w:rsid w:val="006B322E"/>
    <w:rsid w:val="006B3895"/>
    <w:rsid w:val="006B42BD"/>
    <w:rsid w:val="006B6B99"/>
    <w:rsid w:val="006C04B8"/>
    <w:rsid w:val="006C1CAB"/>
    <w:rsid w:val="006C2910"/>
    <w:rsid w:val="006C3AE2"/>
    <w:rsid w:val="006C5153"/>
    <w:rsid w:val="006D0ADE"/>
    <w:rsid w:val="006D0FA1"/>
    <w:rsid w:val="006D144F"/>
    <w:rsid w:val="006D22FA"/>
    <w:rsid w:val="006D4886"/>
    <w:rsid w:val="006D630D"/>
    <w:rsid w:val="006D6FD9"/>
    <w:rsid w:val="006E279E"/>
    <w:rsid w:val="006E2C15"/>
    <w:rsid w:val="006E4A23"/>
    <w:rsid w:val="006E539F"/>
    <w:rsid w:val="006E7101"/>
    <w:rsid w:val="006F2ADE"/>
    <w:rsid w:val="006F32ED"/>
    <w:rsid w:val="006F38BC"/>
    <w:rsid w:val="006F43DE"/>
    <w:rsid w:val="006F5540"/>
    <w:rsid w:val="006F676C"/>
    <w:rsid w:val="007014C0"/>
    <w:rsid w:val="00702191"/>
    <w:rsid w:val="007027CA"/>
    <w:rsid w:val="00712378"/>
    <w:rsid w:val="00713E22"/>
    <w:rsid w:val="00714710"/>
    <w:rsid w:val="0072701D"/>
    <w:rsid w:val="00735994"/>
    <w:rsid w:val="00737636"/>
    <w:rsid w:val="007429A2"/>
    <w:rsid w:val="00742FC9"/>
    <w:rsid w:val="00747FC5"/>
    <w:rsid w:val="007504E6"/>
    <w:rsid w:val="00751D5E"/>
    <w:rsid w:val="007532AF"/>
    <w:rsid w:val="00765896"/>
    <w:rsid w:val="007667FB"/>
    <w:rsid w:val="007676BE"/>
    <w:rsid w:val="007676D5"/>
    <w:rsid w:val="00772AA8"/>
    <w:rsid w:val="00772FC3"/>
    <w:rsid w:val="00781888"/>
    <w:rsid w:val="00784361"/>
    <w:rsid w:val="007856E1"/>
    <w:rsid w:val="0078584E"/>
    <w:rsid w:val="00787FAA"/>
    <w:rsid w:val="0079726E"/>
    <w:rsid w:val="00797BAE"/>
    <w:rsid w:val="007A1D97"/>
    <w:rsid w:val="007A3111"/>
    <w:rsid w:val="007A5ED3"/>
    <w:rsid w:val="007B0143"/>
    <w:rsid w:val="007B2D9B"/>
    <w:rsid w:val="007B4E15"/>
    <w:rsid w:val="007B4FDF"/>
    <w:rsid w:val="007B739B"/>
    <w:rsid w:val="007C0313"/>
    <w:rsid w:val="007C1D33"/>
    <w:rsid w:val="007C37BC"/>
    <w:rsid w:val="007C607D"/>
    <w:rsid w:val="007D016A"/>
    <w:rsid w:val="007D2BD3"/>
    <w:rsid w:val="007D2EE0"/>
    <w:rsid w:val="007D34D7"/>
    <w:rsid w:val="007D6D7E"/>
    <w:rsid w:val="007E1B95"/>
    <w:rsid w:val="007E4072"/>
    <w:rsid w:val="007E40FE"/>
    <w:rsid w:val="007E658B"/>
    <w:rsid w:val="007E7543"/>
    <w:rsid w:val="007F0031"/>
    <w:rsid w:val="007F0936"/>
    <w:rsid w:val="007F370B"/>
    <w:rsid w:val="007F49C2"/>
    <w:rsid w:val="007F5113"/>
    <w:rsid w:val="007F7013"/>
    <w:rsid w:val="00803031"/>
    <w:rsid w:val="008039D2"/>
    <w:rsid w:val="00810B16"/>
    <w:rsid w:val="00811168"/>
    <w:rsid w:val="00811C98"/>
    <w:rsid w:val="00815392"/>
    <w:rsid w:val="00817A9A"/>
    <w:rsid w:val="00821744"/>
    <w:rsid w:val="0082391D"/>
    <w:rsid w:val="00823929"/>
    <w:rsid w:val="00823C05"/>
    <w:rsid w:val="0083111D"/>
    <w:rsid w:val="008322B5"/>
    <w:rsid w:val="008342D8"/>
    <w:rsid w:val="00834B78"/>
    <w:rsid w:val="008363A6"/>
    <w:rsid w:val="0083654E"/>
    <w:rsid w:val="008373E9"/>
    <w:rsid w:val="008424CB"/>
    <w:rsid w:val="00851C73"/>
    <w:rsid w:val="00852F43"/>
    <w:rsid w:val="008622E1"/>
    <w:rsid w:val="00862363"/>
    <w:rsid w:val="008646C2"/>
    <w:rsid w:val="00865FAB"/>
    <w:rsid w:val="0087013A"/>
    <w:rsid w:val="00871543"/>
    <w:rsid w:val="008723A1"/>
    <w:rsid w:val="00872763"/>
    <w:rsid w:val="00872DD6"/>
    <w:rsid w:val="00875420"/>
    <w:rsid w:val="00876616"/>
    <w:rsid w:val="0088592E"/>
    <w:rsid w:val="00886533"/>
    <w:rsid w:val="00890B54"/>
    <w:rsid w:val="00891697"/>
    <w:rsid w:val="00892045"/>
    <w:rsid w:val="008930B8"/>
    <w:rsid w:val="00893568"/>
    <w:rsid w:val="00896E88"/>
    <w:rsid w:val="0089784A"/>
    <w:rsid w:val="0089797F"/>
    <w:rsid w:val="008A2BC0"/>
    <w:rsid w:val="008A2EEC"/>
    <w:rsid w:val="008A4BB5"/>
    <w:rsid w:val="008B1651"/>
    <w:rsid w:val="008B3264"/>
    <w:rsid w:val="008B3F15"/>
    <w:rsid w:val="008C0425"/>
    <w:rsid w:val="008C1E25"/>
    <w:rsid w:val="008C21C2"/>
    <w:rsid w:val="008C2B66"/>
    <w:rsid w:val="008C45A6"/>
    <w:rsid w:val="008C73EA"/>
    <w:rsid w:val="008C7750"/>
    <w:rsid w:val="008D25F3"/>
    <w:rsid w:val="008E1619"/>
    <w:rsid w:val="008E2B30"/>
    <w:rsid w:val="008E2F34"/>
    <w:rsid w:val="008E3B03"/>
    <w:rsid w:val="008E659C"/>
    <w:rsid w:val="008E7B5B"/>
    <w:rsid w:val="008E7F01"/>
    <w:rsid w:val="008F0106"/>
    <w:rsid w:val="008F0895"/>
    <w:rsid w:val="008F0FA5"/>
    <w:rsid w:val="008F23C8"/>
    <w:rsid w:val="008F46B5"/>
    <w:rsid w:val="008F7467"/>
    <w:rsid w:val="009015F4"/>
    <w:rsid w:val="00904992"/>
    <w:rsid w:val="00904D79"/>
    <w:rsid w:val="0090752B"/>
    <w:rsid w:val="00907F24"/>
    <w:rsid w:val="009129A7"/>
    <w:rsid w:val="00916E1E"/>
    <w:rsid w:val="00917758"/>
    <w:rsid w:val="00917D34"/>
    <w:rsid w:val="00920C3D"/>
    <w:rsid w:val="00921A80"/>
    <w:rsid w:val="00922AAF"/>
    <w:rsid w:val="009231CA"/>
    <w:rsid w:val="0092677F"/>
    <w:rsid w:val="00926E50"/>
    <w:rsid w:val="009276D4"/>
    <w:rsid w:val="00935BAC"/>
    <w:rsid w:val="00937AEA"/>
    <w:rsid w:val="00940732"/>
    <w:rsid w:val="00941A61"/>
    <w:rsid w:val="0094285A"/>
    <w:rsid w:val="00947679"/>
    <w:rsid w:val="0095684F"/>
    <w:rsid w:val="0095766A"/>
    <w:rsid w:val="009605B3"/>
    <w:rsid w:val="00960D09"/>
    <w:rsid w:val="009610AA"/>
    <w:rsid w:val="00961C50"/>
    <w:rsid w:val="009633D3"/>
    <w:rsid w:val="00964FED"/>
    <w:rsid w:val="00967EF0"/>
    <w:rsid w:val="00967F08"/>
    <w:rsid w:val="0097202B"/>
    <w:rsid w:val="009726D3"/>
    <w:rsid w:val="00972B24"/>
    <w:rsid w:val="009748D2"/>
    <w:rsid w:val="00976D85"/>
    <w:rsid w:val="0098223F"/>
    <w:rsid w:val="00982A78"/>
    <w:rsid w:val="00982FC0"/>
    <w:rsid w:val="00983B93"/>
    <w:rsid w:val="00991B04"/>
    <w:rsid w:val="00992779"/>
    <w:rsid w:val="00992F2C"/>
    <w:rsid w:val="00996E6A"/>
    <w:rsid w:val="00997C65"/>
    <w:rsid w:val="009A0704"/>
    <w:rsid w:val="009A1ACB"/>
    <w:rsid w:val="009A40B0"/>
    <w:rsid w:val="009A5024"/>
    <w:rsid w:val="009B07A1"/>
    <w:rsid w:val="009B2B10"/>
    <w:rsid w:val="009B59A5"/>
    <w:rsid w:val="009B78B7"/>
    <w:rsid w:val="009C0A7A"/>
    <w:rsid w:val="009C4031"/>
    <w:rsid w:val="009D05D7"/>
    <w:rsid w:val="009D135F"/>
    <w:rsid w:val="009D3B80"/>
    <w:rsid w:val="009D677F"/>
    <w:rsid w:val="009D698F"/>
    <w:rsid w:val="009E2506"/>
    <w:rsid w:val="009E408F"/>
    <w:rsid w:val="009E4388"/>
    <w:rsid w:val="009E4505"/>
    <w:rsid w:val="009E558E"/>
    <w:rsid w:val="009F53ED"/>
    <w:rsid w:val="009F59B8"/>
    <w:rsid w:val="009F777D"/>
    <w:rsid w:val="00A110CA"/>
    <w:rsid w:val="00A12769"/>
    <w:rsid w:val="00A12F68"/>
    <w:rsid w:val="00A256D2"/>
    <w:rsid w:val="00A259AF"/>
    <w:rsid w:val="00A34A25"/>
    <w:rsid w:val="00A40FF6"/>
    <w:rsid w:val="00A509E9"/>
    <w:rsid w:val="00A51D0E"/>
    <w:rsid w:val="00A52AF7"/>
    <w:rsid w:val="00A539B4"/>
    <w:rsid w:val="00A54084"/>
    <w:rsid w:val="00A60939"/>
    <w:rsid w:val="00A63479"/>
    <w:rsid w:val="00A63865"/>
    <w:rsid w:val="00A63A92"/>
    <w:rsid w:val="00A729FB"/>
    <w:rsid w:val="00A72C77"/>
    <w:rsid w:val="00A7339A"/>
    <w:rsid w:val="00A73B66"/>
    <w:rsid w:val="00A75F02"/>
    <w:rsid w:val="00A7743D"/>
    <w:rsid w:val="00A77FF9"/>
    <w:rsid w:val="00A818DF"/>
    <w:rsid w:val="00A828CE"/>
    <w:rsid w:val="00A8736C"/>
    <w:rsid w:val="00A92F1D"/>
    <w:rsid w:val="00A94125"/>
    <w:rsid w:val="00AA06AC"/>
    <w:rsid w:val="00AA0D68"/>
    <w:rsid w:val="00AA1424"/>
    <w:rsid w:val="00AA1511"/>
    <w:rsid w:val="00AA7E83"/>
    <w:rsid w:val="00AB18DC"/>
    <w:rsid w:val="00AB2E83"/>
    <w:rsid w:val="00AB5632"/>
    <w:rsid w:val="00AC0745"/>
    <w:rsid w:val="00AC229B"/>
    <w:rsid w:val="00AC349D"/>
    <w:rsid w:val="00AC7011"/>
    <w:rsid w:val="00AD30DF"/>
    <w:rsid w:val="00AD4AB5"/>
    <w:rsid w:val="00AD4CCA"/>
    <w:rsid w:val="00AE131F"/>
    <w:rsid w:val="00AE137F"/>
    <w:rsid w:val="00AE2C6B"/>
    <w:rsid w:val="00AE4A1D"/>
    <w:rsid w:val="00AF044F"/>
    <w:rsid w:val="00AF0F28"/>
    <w:rsid w:val="00AF3BA6"/>
    <w:rsid w:val="00AF3D87"/>
    <w:rsid w:val="00AF5FC0"/>
    <w:rsid w:val="00B02B0D"/>
    <w:rsid w:val="00B06037"/>
    <w:rsid w:val="00B10FE5"/>
    <w:rsid w:val="00B14DA6"/>
    <w:rsid w:val="00B160D3"/>
    <w:rsid w:val="00B171E5"/>
    <w:rsid w:val="00B230E5"/>
    <w:rsid w:val="00B25080"/>
    <w:rsid w:val="00B30E4D"/>
    <w:rsid w:val="00B31657"/>
    <w:rsid w:val="00B3608D"/>
    <w:rsid w:val="00B36FA3"/>
    <w:rsid w:val="00B3772C"/>
    <w:rsid w:val="00B42379"/>
    <w:rsid w:val="00B42387"/>
    <w:rsid w:val="00B43232"/>
    <w:rsid w:val="00B4533F"/>
    <w:rsid w:val="00B46241"/>
    <w:rsid w:val="00B4667E"/>
    <w:rsid w:val="00B53E04"/>
    <w:rsid w:val="00B55250"/>
    <w:rsid w:val="00B613EA"/>
    <w:rsid w:val="00B619C1"/>
    <w:rsid w:val="00B634C5"/>
    <w:rsid w:val="00B63CD1"/>
    <w:rsid w:val="00B66992"/>
    <w:rsid w:val="00B67021"/>
    <w:rsid w:val="00B673AE"/>
    <w:rsid w:val="00B71518"/>
    <w:rsid w:val="00B7193E"/>
    <w:rsid w:val="00B71953"/>
    <w:rsid w:val="00B73355"/>
    <w:rsid w:val="00B76CF6"/>
    <w:rsid w:val="00B8760F"/>
    <w:rsid w:val="00BA1890"/>
    <w:rsid w:val="00BA2A90"/>
    <w:rsid w:val="00BA2E04"/>
    <w:rsid w:val="00BA5174"/>
    <w:rsid w:val="00BB25CF"/>
    <w:rsid w:val="00BC05EA"/>
    <w:rsid w:val="00BC0D0A"/>
    <w:rsid w:val="00BC1906"/>
    <w:rsid w:val="00BC7767"/>
    <w:rsid w:val="00BD164F"/>
    <w:rsid w:val="00BD250A"/>
    <w:rsid w:val="00BD3811"/>
    <w:rsid w:val="00BD3C90"/>
    <w:rsid w:val="00BD530C"/>
    <w:rsid w:val="00BD59EB"/>
    <w:rsid w:val="00BD75B3"/>
    <w:rsid w:val="00BD7B04"/>
    <w:rsid w:val="00BE0E62"/>
    <w:rsid w:val="00BE1339"/>
    <w:rsid w:val="00BE2DB6"/>
    <w:rsid w:val="00BE39D0"/>
    <w:rsid w:val="00BE626A"/>
    <w:rsid w:val="00BF3B1E"/>
    <w:rsid w:val="00BF63B4"/>
    <w:rsid w:val="00C0051D"/>
    <w:rsid w:val="00C116B1"/>
    <w:rsid w:val="00C13985"/>
    <w:rsid w:val="00C163BD"/>
    <w:rsid w:val="00C20A03"/>
    <w:rsid w:val="00C2201B"/>
    <w:rsid w:val="00C23451"/>
    <w:rsid w:val="00C2460D"/>
    <w:rsid w:val="00C252E2"/>
    <w:rsid w:val="00C26DD1"/>
    <w:rsid w:val="00C313CD"/>
    <w:rsid w:val="00C340D3"/>
    <w:rsid w:val="00C351BA"/>
    <w:rsid w:val="00C35B2C"/>
    <w:rsid w:val="00C413E8"/>
    <w:rsid w:val="00C42595"/>
    <w:rsid w:val="00C430CB"/>
    <w:rsid w:val="00C43527"/>
    <w:rsid w:val="00C43D4F"/>
    <w:rsid w:val="00C47618"/>
    <w:rsid w:val="00C5019B"/>
    <w:rsid w:val="00C51E63"/>
    <w:rsid w:val="00C52AEA"/>
    <w:rsid w:val="00C53780"/>
    <w:rsid w:val="00C53CE2"/>
    <w:rsid w:val="00C53D20"/>
    <w:rsid w:val="00C56FC7"/>
    <w:rsid w:val="00C57B30"/>
    <w:rsid w:val="00C605C4"/>
    <w:rsid w:val="00C60FE4"/>
    <w:rsid w:val="00C635D7"/>
    <w:rsid w:val="00C63A5F"/>
    <w:rsid w:val="00C63B93"/>
    <w:rsid w:val="00C65863"/>
    <w:rsid w:val="00C674CC"/>
    <w:rsid w:val="00C67C6E"/>
    <w:rsid w:val="00C7164A"/>
    <w:rsid w:val="00C73A92"/>
    <w:rsid w:val="00C74874"/>
    <w:rsid w:val="00C75E18"/>
    <w:rsid w:val="00C75EEE"/>
    <w:rsid w:val="00C80382"/>
    <w:rsid w:val="00C8050E"/>
    <w:rsid w:val="00C81455"/>
    <w:rsid w:val="00C81482"/>
    <w:rsid w:val="00C848EC"/>
    <w:rsid w:val="00C85098"/>
    <w:rsid w:val="00C856AA"/>
    <w:rsid w:val="00C871BE"/>
    <w:rsid w:val="00C9108B"/>
    <w:rsid w:val="00C92002"/>
    <w:rsid w:val="00C96286"/>
    <w:rsid w:val="00C97967"/>
    <w:rsid w:val="00C97CEA"/>
    <w:rsid w:val="00CA1481"/>
    <w:rsid w:val="00CA47B4"/>
    <w:rsid w:val="00CB0E90"/>
    <w:rsid w:val="00CB3514"/>
    <w:rsid w:val="00CB6DC9"/>
    <w:rsid w:val="00CB7130"/>
    <w:rsid w:val="00CB7461"/>
    <w:rsid w:val="00CC2FCA"/>
    <w:rsid w:val="00CD1B1E"/>
    <w:rsid w:val="00CD2C98"/>
    <w:rsid w:val="00CD61EB"/>
    <w:rsid w:val="00CD772E"/>
    <w:rsid w:val="00CE029F"/>
    <w:rsid w:val="00CE1BFF"/>
    <w:rsid w:val="00CF05A2"/>
    <w:rsid w:val="00CF10FE"/>
    <w:rsid w:val="00CF2ECF"/>
    <w:rsid w:val="00CF726D"/>
    <w:rsid w:val="00D00023"/>
    <w:rsid w:val="00D0235D"/>
    <w:rsid w:val="00D025DA"/>
    <w:rsid w:val="00D028A7"/>
    <w:rsid w:val="00D0485A"/>
    <w:rsid w:val="00D05F9E"/>
    <w:rsid w:val="00D10122"/>
    <w:rsid w:val="00D11BAC"/>
    <w:rsid w:val="00D14029"/>
    <w:rsid w:val="00D171C7"/>
    <w:rsid w:val="00D17DFC"/>
    <w:rsid w:val="00D23E71"/>
    <w:rsid w:val="00D24A4A"/>
    <w:rsid w:val="00D27A44"/>
    <w:rsid w:val="00D32B51"/>
    <w:rsid w:val="00D3785C"/>
    <w:rsid w:val="00D40E45"/>
    <w:rsid w:val="00D42E70"/>
    <w:rsid w:val="00D455BD"/>
    <w:rsid w:val="00D455DC"/>
    <w:rsid w:val="00D52F9C"/>
    <w:rsid w:val="00D53888"/>
    <w:rsid w:val="00D5473E"/>
    <w:rsid w:val="00D56913"/>
    <w:rsid w:val="00D60338"/>
    <w:rsid w:val="00D607B9"/>
    <w:rsid w:val="00D63B56"/>
    <w:rsid w:val="00D63BB4"/>
    <w:rsid w:val="00D63F55"/>
    <w:rsid w:val="00D6694F"/>
    <w:rsid w:val="00D671FB"/>
    <w:rsid w:val="00D72566"/>
    <w:rsid w:val="00D741D8"/>
    <w:rsid w:val="00D754F7"/>
    <w:rsid w:val="00D77544"/>
    <w:rsid w:val="00D8442F"/>
    <w:rsid w:val="00D91CEC"/>
    <w:rsid w:val="00D94647"/>
    <w:rsid w:val="00D94F41"/>
    <w:rsid w:val="00D97934"/>
    <w:rsid w:val="00DA3F1B"/>
    <w:rsid w:val="00DA64BA"/>
    <w:rsid w:val="00DB2400"/>
    <w:rsid w:val="00DB2675"/>
    <w:rsid w:val="00DB280D"/>
    <w:rsid w:val="00DB52E2"/>
    <w:rsid w:val="00DB76EE"/>
    <w:rsid w:val="00DC2023"/>
    <w:rsid w:val="00DC2A09"/>
    <w:rsid w:val="00DC4611"/>
    <w:rsid w:val="00DC4E81"/>
    <w:rsid w:val="00DC6701"/>
    <w:rsid w:val="00DC79B0"/>
    <w:rsid w:val="00DD01D2"/>
    <w:rsid w:val="00DD0C75"/>
    <w:rsid w:val="00DD1223"/>
    <w:rsid w:val="00DD1AA5"/>
    <w:rsid w:val="00DD1B58"/>
    <w:rsid w:val="00DD236F"/>
    <w:rsid w:val="00DD4AD1"/>
    <w:rsid w:val="00DD7983"/>
    <w:rsid w:val="00DD79BA"/>
    <w:rsid w:val="00DE01A7"/>
    <w:rsid w:val="00DE0E60"/>
    <w:rsid w:val="00DE14C3"/>
    <w:rsid w:val="00DE3D61"/>
    <w:rsid w:val="00DE4B0E"/>
    <w:rsid w:val="00DF033D"/>
    <w:rsid w:val="00DF05A5"/>
    <w:rsid w:val="00DF0DC6"/>
    <w:rsid w:val="00DF314D"/>
    <w:rsid w:val="00DF55F7"/>
    <w:rsid w:val="00E00001"/>
    <w:rsid w:val="00E10E6B"/>
    <w:rsid w:val="00E15BC6"/>
    <w:rsid w:val="00E168B2"/>
    <w:rsid w:val="00E20A20"/>
    <w:rsid w:val="00E22D9D"/>
    <w:rsid w:val="00E24476"/>
    <w:rsid w:val="00E245B9"/>
    <w:rsid w:val="00E3116F"/>
    <w:rsid w:val="00E32EB6"/>
    <w:rsid w:val="00E334E2"/>
    <w:rsid w:val="00E35058"/>
    <w:rsid w:val="00E3574B"/>
    <w:rsid w:val="00E35FF0"/>
    <w:rsid w:val="00E36BD7"/>
    <w:rsid w:val="00E40351"/>
    <w:rsid w:val="00E411AB"/>
    <w:rsid w:val="00E44310"/>
    <w:rsid w:val="00E44DD5"/>
    <w:rsid w:val="00E47FB7"/>
    <w:rsid w:val="00E5021C"/>
    <w:rsid w:val="00E50452"/>
    <w:rsid w:val="00E5095C"/>
    <w:rsid w:val="00E51BCA"/>
    <w:rsid w:val="00E63975"/>
    <w:rsid w:val="00E70464"/>
    <w:rsid w:val="00E7108A"/>
    <w:rsid w:val="00E71567"/>
    <w:rsid w:val="00E715F9"/>
    <w:rsid w:val="00E71C6E"/>
    <w:rsid w:val="00E72D83"/>
    <w:rsid w:val="00E754EB"/>
    <w:rsid w:val="00E7753D"/>
    <w:rsid w:val="00E7787C"/>
    <w:rsid w:val="00E8055C"/>
    <w:rsid w:val="00E81A14"/>
    <w:rsid w:val="00E82201"/>
    <w:rsid w:val="00E82D39"/>
    <w:rsid w:val="00E84A7B"/>
    <w:rsid w:val="00E84E4E"/>
    <w:rsid w:val="00E85C42"/>
    <w:rsid w:val="00E85CF7"/>
    <w:rsid w:val="00E87304"/>
    <w:rsid w:val="00E93285"/>
    <w:rsid w:val="00E934B5"/>
    <w:rsid w:val="00EA1C8D"/>
    <w:rsid w:val="00EA2F37"/>
    <w:rsid w:val="00EA674C"/>
    <w:rsid w:val="00EA74F0"/>
    <w:rsid w:val="00EA7E9B"/>
    <w:rsid w:val="00EB10A0"/>
    <w:rsid w:val="00EB1201"/>
    <w:rsid w:val="00EB790D"/>
    <w:rsid w:val="00EC0793"/>
    <w:rsid w:val="00EC42FF"/>
    <w:rsid w:val="00EC5003"/>
    <w:rsid w:val="00EC5994"/>
    <w:rsid w:val="00ED2738"/>
    <w:rsid w:val="00ED35AC"/>
    <w:rsid w:val="00ED572B"/>
    <w:rsid w:val="00ED6329"/>
    <w:rsid w:val="00EE2071"/>
    <w:rsid w:val="00EE3967"/>
    <w:rsid w:val="00EE4EAE"/>
    <w:rsid w:val="00EF1E34"/>
    <w:rsid w:val="00EF47ED"/>
    <w:rsid w:val="00F01A44"/>
    <w:rsid w:val="00F02D4A"/>
    <w:rsid w:val="00F04FA3"/>
    <w:rsid w:val="00F051D4"/>
    <w:rsid w:val="00F06E1E"/>
    <w:rsid w:val="00F125E6"/>
    <w:rsid w:val="00F12BBE"/>
    <w:rsid w:val="00F12DBD"/>
    <w:rsid w:val="00F13B8E"/>
    <w:rsid w:val="00F14B33"/>
    <w:rsid w:val="00F15769"/>
    <w:rsid w:val="00F230FE"/>
    <w:rsid w:val="00F254CC"/>
    <w:rsid w:val="00F261CB"/>
    <w:rsid w:val="00F2796A"/>
    <w:rsid w:val="00F3019D"/>
    <w:rsid w:val="00F3072C"/>
    <w:rsid w:val="00F30C60"/>
    <w:rsid w:val="00F31598"/>
    <w:rsid w:val="00F33686"/>
    <w:rsid w:val="00F3488F"/>
    <w:rsid w:val="00F35D8D"/>
    <w:rsid w:val="00F37097"/>
    <w:rsid w:val="00F41CD1"/>
    <w:rsid w:val="00F43016"/>
    <w:rsid w:val="00F44008"/>
    <w:rsid w:val="00F4562C"/>
    <w:rsid w:val="00F47EF9"/>
    <w:rsid w:val="00F55CDB"/>
    <w:rsid w:val="00F579F4"/>
    <w:rsid w:val="00F60A99"/>
    <w:rsid w:val="00F6341E"/>
    <w:rsid w:val="00F7615A"/>
    <w:rsid w:val="00F84FCF"/>
    <w:rsid w:val="00F90778"/>
    <w:rsid w:val="00F929D0"/>
    <w:rsid w:val="00F93751"/>
    <w:rsid w:val="00F95C4D"/>
    <w:rsid w:val="00FA040F"/>
    <w:rsid w:val="00FA6565"/>
    <w:rsid w:val="00FA6BF4"/>
    <w:rsid w:val="00FB5B0B"/>
    <w:rsid w:val="00FB5B5C"/>
    <w:rsid w:val="00FB7EF1"/>
    <w:rsid w:val="00FC712A"/>
    <w:rsid w:val="00FC738A"/>
    <w:rsid w:val="00FD0923"/>
    <w:rsid w:val="00FD2B2A"/>
    <w:rsid w:val="00FE1108"/>
    <w:rsid w:val="00FE4757"/>
    <w:rsid w:val="00FE4B1A"/>
    <w:rsid w:val="00FE6F2D"/>
    <w:rsid w:val="00FE73A3"/>
    <w:rsid w:val="00FF034C"/>
    <w:rsid w:val="00FF08B6"/>
    <w:rsid w:val="00FF3E56"/>
    <w:rsid w:val="00FF4788"/>
    <w:rsid w:val="00FF669C"/>
    <w:rsid w:val="01A52705"/>
    <w:rsid w:val="09D47BA6"/>
    <w:rsid w:val="19AB4D2F"/>
    <w:rsid w:val="206044EB"/>
    <w:rsid w:val="21B87493"/>
    <w:rsid w:val="276F3259"/>
    <w:rsid w:val="3DEE2762"/>
    <w:rsid w:val="40C310C1"/>
    <w:rsid w:val="42F44377"/>
    <w:rsid w:val="508B01C5"/>
    <w:rsid w:val="50B210B1"/>
    <w:rsid w:val="67FA6EE3"/>
    <w:rsid w:val="6DF200CA"/>
    <w:rsid w:val="7D7236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name="Normal Indent"/>
    <w:lsdException w:uiPriority="99" w:name="footnote text"/>
    <w:lsdException w:qFormat="1" w:uiPriority="99" w:name="annotation text"/>
    <w:lsdException w:qFormat="1" w:unhideWhenUsed="0" w:uiPriority="0" w:name="header"/>
    <w:lsdException w:qFormat="1" w:unhideWhenUsed="0" w:uiPriority="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nhideWhenUsed="0"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nhideWhenUsed="0" w:uiPriority="0" w:name="Body Text 2"/>
    <w:lsdException w:qFormat="1" w:unhideWhenUsed="0" w:uiPriority="0" w:name="Body Text 3"/>
    <w:lsdException w:qFormat="1" w:unhideWhenUsed="0" w:uiPriority="0" w:name="Body Text Indent 2"/>
    <w:lsdException w:qFormat="1" w:unhideWhenUsed="0" w:uiPriority="0"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Times New Roman" w:hAnsi="Times New Roman" w:eastAsia="宋体" w:cs="Times New Roman"/>
      <w:spacing w:val="6"/>
      <w:kern w:val="20"/>
      <w:szCs w:val="24"/>
      <w:lang w:val="en-US" w:eastAsia="zh-CN" w:bidi="ar-SA"/>
    </w:rPr>
  </w:style>
  <w:style w:type="paragraph" w:styleId="2">
    <w:name w:val="heading 1"/>
    <w:basedOn w:val="1"/>
    <w:next w:val="1"/>
    <w:link w:val="31"/>
    <w:autoRedefine/>
    <w:qFormat/>
    <w:uiPriority w:val="0"/>
    <w:pPr>
      <w:keepNext/>
      <w:keepLines/>
      <w:tabs>
        <w:tab w:val="center" w:pos="3840"/>
        <w:tab w:val="right" w:pos="8400"/>
      </w:tabs>
      <w:spacing w:before="312" w:beforeLines="100"/>
      <w:ind w:firstLine="0" w:firstLineChars="0"/>
      <w:jc w:val="center"/>
      <w:outlineLvl w:val="0"/>
    </w:pPr>
    <w:rPr>
      <w:rFonts w:eastAsia="黑体"/>
      <w:kern w:val="44"/>
      <w:sz w:val="48"/>
      <w:szCs w:val="20"/>
      <w:lang w:val="zh-CN" w:eastAsia="zh-CN"/>
    </w:rPr>
  </w:style>
  <w:style w:type="paragraph" w:styleId="3">
    <w:name w:val="heading 2"/>
    <w:basedOn w:val="1"/>
    <w:next w:val="4"/>
    <w:link w:val="32"/>
    <w:autoRedefine/>
    <w:qFormat/>
    <w:uiPriority w:val="0"/>
    <w:pPr>
      <w:keepNext/>
      <w:keepLines/>
      <w:snapToGrid w:val="0"/>
      <w:jc w:val="center"/>
      <w:outlineLvl w:val="1"/>
    </w:pPr>
    <w:rPr>
      <w:rFonts w:eastAsia="楷体_GB2312"/>
      <w:sz w:val="28"/>
      <w:szCs w:val="20"/>
      <w:lang w:val="zh-CN" w:eastAsia="zh-CN"/>
    </w:rPr>
  </w:style>
  <w:style w:type="paragraph" w:styleId="5">
    <w:name w:val="heading 3"/>
    <w:basedOn w:val="1"/>
    <w:next w:val="4"/>
    <w:link w:val="33"/>
    <w:qFormat/>
    <w:uiPriority w:val="0"/>
    <w:pPr>
      <w:keepNext/>
      <w:keepLines/>
      <w:spacing w:before="160" w:after="160"/>
      <w:ind w:left="150" w:hanging="150" w:hangingChars="150"/>
      <w:jc w:val="left"/>
      <w:outlineLvl w:val="2"/>
    </w:pPr>
    <w:rPr>
      <w:rFonts w:eastAsia="黑体"/>
      <w:bCs/>
      <w:sz w:val="24"/>
      <w:szCs w:val="20"/>
      <w:lang w:val="zh-CN" w:eastAsia="zh-CN"/>
    </w:rPr>
  </w:style>
  <w:style w:type="paragraph" w:styleId="6">
    <w:name w:val="heading 4"/>
    <w:basedOn w:val="1"/>
    <w:next w:val="4"/>
    <w:link w:val="34"/>
    <w:qFormat/>
    <w:uiPriority w:val="0"/>
    <w:pPr>
      <w:keepNext/>
      <w:keepLines/>
      <w:jc w:val="left"/>
      <w:outlineLvl w:val="3"/>
    </w:pPr>
    <w:rPr>
      <w:rFonts w:eastAsia="黑体"/>
      <w:szCs w:val="20"/>
      <w:lang w:val="zh-CN" w:eastAsia="zh-CN"/>
    </w:rPr>
  </w:style>
  <w:style w:type="paragraph" w:styleId="7">
    <w:name w:val="heading 5"/>
    <w:basedOn w:val="1"/>
    <w:next w:val="4"/>
    <w:link w:val="35"/>
    <w:qFormat/>
    <w:uiPriority w:val="0"/>
    <w:pPr>
      <w:keepNext/>
      <w:keepLines/>
      <w:spacing w:before="160" w:after="160"/>
      <w:jc w:val="center"/>
      <w:outlineLvl w:val="4"/>
    </w:pPr>
    <w:rPr>
      <w:rFonts w:eastAsia="黑体"/>
      <w:szCs w:val="20"/>
      <w:lang w:val="zh-CN" w:eastAsia="zh-CN"/>
    </w:rPr>
  </w:style>
  <w:style w:type="paragraph" w:styleId="8">
    <w:name w:val="heading 6"/>
    <w:basedOn w:val="1"/>
    <w:next w:val="4"/>
    <w:link w:val="36"/>
    <w:qFormat/>
    <w:uiPriority w:val="0"/>
    <w:pPr>
      <w:keepNext/>
      <w:keepLines/>
      <w:numPr>
        <w:ilvl w:val="5"/>
        <w:numId w:val="1"/>
      </w:numPr>
      <w:spacing w:before="240" w:after="64" w:line="320" w:lineRule="auto"/>
      <w:outlineLvl w:val="5"/>
    </w:pPr>
    <w:rPr>
      <w:rFonts w:ascii="Arial" w:hAnsi="Arial" w:eastAsia="黑体"/>
      <w:b/>
      <w:sz w:val="24"/>
      <w:szCs w:val="20"/>
      <w:lang w:val="zh-CN" w:eastAsia="zh-CN"/>
    </w:rPr>
  </w:style>
  <w:style w:type="paragraph" w:styleId="9">
    <w:name w:val="heading 7"/>
    <w:basedOn w:val="1"/>
    <w:next w:val="4"/>
    <w:link w:val="37"/>
    <w:qFormat/>
    <w:uiPriority w:val="0"/>
    <w:pPr>
      <w:keepNext/>
      <w:keepLines/>
      <w:numPr>
        <w:ilvl w:val="6"/>
        <w:numId w:val="1"/>
      </w:numPr>
      <w:spacing w:before="240" w:after="64" w:line="320" w:lineRule="auto"/>
      <w:outlineLvl w:val="6"/>
    </w:pPr>
    <w:rPr>
      <w:b/>
      <w:sz w:val="24"/>
      <w:szCs w:val="20"/>
      <w:lang w:val="zh-CN" w:eastAsia="zh-CN"/>
    </w:rPr>
  </w:style>
  <w:style w:type="paragraph" w:styleId="10">
    <w:name w:val="heading 8"/>
    <w:basedOn w:val="1"/>
    <w:next w:val="4"/>
    <w:link w:val="38"/>
    <w:qFormat/>
    <w:uiPriority w:val="0"/>
    <w:pPr>
      <w:keepNext/>
      <w:keepLines/>
      <w:numPr>
        <w:ilvl w:val="7"/>
        <w:numId w:val="1"/>
      </w:numPr>
      <w:spacing w:before="240" w:after="64" w:line="320" w:lineRule="auto"/>
      <w:outlineLvl w:val="7"/>
    </w:pPr>
    <w:rPr>
      <w:rFonts w:ascii="Arial" w:hAnsi="Arial" w:eastAsia="黑体"/>
      <w:sz w:val="24"/>
      <w:szCs w:val="20"/>
      <w:lang w:val="zh-CN" w:eastAsia="zh-CN"/>
    </w:rPr>
  </w:style>
  <w:style w:type="paragraph" w:styleId="11">
    <w:name w:val="heading 9"/>
    <w:basedOn w:val="1"/>
    <w:next w:val="4"/>
    <w:link w:val="39"/>
    <w:qFormat/>
    <w:uiPriority w:val="0"/>
    <w:pPr>
      <w:keepNext/>
      <w:keepLines/>
      <w:numPr>
        <w:ilvl w:val="8"/>
        <w:numId w:val="1"/>
      </w:numPr>
      <w:spacing w:before="240" w:after="64" w:line="320" w:lineRule="auto"/>
      <w:outlineLvl w:val="8"/>
    </w:pPr>
    <w:rPr>
      <w:rFonts w:ascii="Arial" w:hAnsi="Arial" w:eastAsia="黑体"/>
      <w:szCs w:val="20"/>
      <w:lang w:val="zh-CN" w:eastAsia="zh-CN"/>
    </w:rPr>
  </w:style>
  <w:style w:type="character" w:default="1" w:styleId="25">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4">
    <w:name w:val="Normal Indent"/>
    <w:basedOn w:val="1"/>
    <w:link w:val="68"/>
    <w:semiHidden/>
    <w:qFormat/>
    <w:uiPriority w:val="0"/>
    <w:pPr>
      <w:ind w:firstLine="420"/>
    </w:pPr>
    <w:rPr>
      <w:sz w:val="24"/>
      <w:szCs w:val="20"/>
      <w:lang w:val="zh-CN" w:eastAsia="zh-CN"/>
    </w:rPr>
  </w:style>
  <w:style w:type="paragraph" w:styleId="12">
    <w:name w:val="annotation text"/>
    <w:basedOn w:val="1"/>
    <w:link w:val="69"/>
    <w:semiHidden/>
    <w:unhideWhenUsed/>
    <w:qFormat/>
    <w:uiPriority w:val="99"/>
    <w:pPr>
      <w:jc w:val="left"/>
    </w:pPr>
    <w:rPr>
      <w:lang w:val="zh-CN" w:eastAsia="zh-CN"/>
    </w:rPr>
  </w:style>
  <w:style w:type="paragraph" w:styleId="13">
    <w:name w:val="Body Text 3"/>
    <w:basedOn w:val="1"/>
    <w:link w:val="48"/>
    <w:semiHidden/>
    <w:qFormat/>
    <w:uiPriority w:val="0"/>
    <w:pPr>
      <w:spacing w:after="156" w:afterLines="50"/>
    </w:pPr>
    <w:rPr>
      <w:b/>
      <w:caps/>
      <w:color w:val="000000"/>
      <w:lang w:val="zh-CN" w:eastAsia="zh-CN"/>
    </w:rPr>
  </w:style>
  <w:style w:type="paragraph" w:styleId="14">
    <w:name w:val="Body Text"/>
    <w:basedOn w:val="1"/>
    <w:link w:val="45"/>
    <w:semiHidden/>
    <w:qFormat/>
    <w:uiPriority w:val="0"/>
    <w:pPr>
      <w:adjustRightInd w:val="0"/>
      <w:snapToGrid w:val="0"/>
      <w:jc w:val="left"/>
      <w:textAlignment w:val="baseline"/>
    </w:pPr>
    <w:rPr>
      <w:kern w:val="0"/>
      <w:sz w:val="17"/>
      <w:szCs w:val="20"/>
      <w:lang w:val="zh-CN" w:eastAsia="zh-CN"/>
    </w:rPr>
  </w:style>
  <w:style w:type="paragraph" w:styleId="15">
    <w:name w:val="Body Text Indent"/>
    <w:basedOn w:val="1"/>
    <w:link w:val="42"/>
    <w:semiHidden/>
    <w:qFormat/>
    <w:uiPriority w:val="0"/>
    <w:pPr>
      <w:spacing w:line="440" w:lineRule="exact"/>
      <w:ind w:firstLine="480"/>
    </w:pPr>
    <w:rPr>
      <w:sz w:val="24"/>
      <w:szCs w:val="20"/>
      <w:lang w:val="zh-CN" w:eastAsia="zh-CN"/>
    </w:rPr>
  </w:style>
  <w:style w:type="paragraph" w:styleId="16">
    <w:name w:val="Body Text Indent 2"/>
    <w:basedOn w:val="1"/>
    <w:link w:val="43"/>
    <w:semiHidden/>
    <w:qFormat/>
    <w:uiPriority w:val="0"/>
    <w:pPr>
      <w:ind w:firstLine="420"/>
    </w:pPr>
    <w:rPr>
      <w:color w:val="000000"/>
      <w:lang w:val="zh-CN" w:eastAsia="zh-CN"/>
    </w:rPr>
  </w:style>
  <w:style w:type="paragraph" w:styleId="17">
    <w:name w:val="Balloon Text"/>
    <w:basedOn w:val="1"/>
    <w:link w:val="47"/>
    <w:semiHidden/>
    <w:qFormat/>
    <w:uiPriority w:val="0"/>
    <w:pPr>
      <w:adjustRightInd w:val="0"/>
      <w:jc w:val="left"/>
      <w:textAlignment w:val="baseline"/>
    </w:pPr>
    <w:rPr>
      <w:kern w:val="0"/>
      <w:sz w:val="18"/>
      <w:szCs w:val="20"/>
      <w:lang w:val="zh-CN" w:eastAsia="zh-CN"/>
    </w:rPr>
  </w:style>
  <w:style w:type="paragraph" w:styleId="18">
    <w:name w:val="footer"/>
    <w:basedOn w:val="1"/>
    <w:link w:val="41"/>
    <w:semiHidden/>
    <w:qFormat/>
    <w:uiPriority w:val="0"/>
    <w:pPr>
      <w:tabs>
        <w:tab w:val="center" w:pos="4153"/>
        <w:tab w:val="right" w:pos="8306"/>
      </w:tabs>
      <w:snapToGrid w:val="0"/>
      <w:jc w:val="left"/>
    </w:pPr>
    <w:rPr>
      <w:sz w:val="18"/>
      <w:szCs w:val="18"/>
      <w:lang w:val="zh-CN" w:eastAsia="zh-CN"/>
    </w:rPr>
  </w:style>
  <w:style w:type="paragraph" w:styleId="19">
    <w:name w:val="header"/>
    <w:basedOn w:val="1"/>
    <w:link w:val="40"/>
    <w:semiHidden/>
    <w:qFormat/>
    <w:uiPriority w:val="0"/>
    <w:pPr>
      <w:pBdr>
        <w:bottom w:val="single" w:color="auto" w:sz="6" w:space="1"/>
      </w:pBdr>
      <w:tabs>
        <w:tab w:val="center" w:pos="4153"/>
        <w:tab w:val="right" w:pos="8306"/>
      </w:tabs>
      <w:snapToGrid w:val="0"/>
      <w:jc w:val="center"/>
    </w:pPr>
    <w:rPr>
      <w:sz w:val="18"/>
      <w:szCs w:val="18"/>
      <w:lang w:val="zh-CN" w:eastAsia="zh-CN"/>
    </w:rPr>
  </w:style>
  <w:style w:type="paragraph" w:styleId="20">
    <w:name w:val="Body Text Indent 3"/>
    <w:basedOn w:val="1"/>
    <w:link w:val="44"/>
    <w:semiHidden/>
    <w:qFormat/>
    <w:uiPriority w:val="0"/>
    <w:pPr>
      <w:tabs>
        <w:tab w:val="left" w:pos="456"/>
      </w:tabs>
      <w:ind w:left="21" w:leftChars="10" w:firstLine="449" w:firstLineChars="214"/>
    </w:pPr>
    <w:rPr>
      <w:color w:val="000000"/>
      <w:lang w:val="zh-CN" w:eastAsia="zh-CN"/>
    </w:rPr>
  </w:style>
  <w:style w:type="paragraph" w:styleId="21">
    <w:name w:val="Body Text 2"/>
    <w:basedOn w:val="1"/>
    <w:link w:val="46"/>
    <w:semiHidden/>
    <w:qFormat/>
    <w:uiPriority w:val="0"/>
    <w:pPr>
      <w:spacing w:after="120" w:line="480" w:lineRule="auto"/>
    </w:pPr>
    <w:rPr>
      <w:szCs w:val="20"/>
      <w:lang w:val="zh-CN" w:eastAsia="zh-CN"/>
    </w:rPr>
  </w:style>
  <w:style w:type="paragraph" w:styleId="22">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23">
    <w:name w:val="annotation subject"/>
    <w:basedOn w:val="12"/>
    <w:next w:val="12"/>
    <w:link w:val="73"/>
    <w:semiHidden/>
    <w:unhideWhenUsed/>
    <w:qFormat/>
    <w:uiPriority w:val="99"/>
    <w:rPr>
      <w:b/>
      <w:bCs/>
    </w:rPr>
  </w:style>
  <w:style w:type="character" w:styleId="26">
    <w:name w:val="Strong"/>
    <w:basedOn w:val="25"/>
    <w:qFormat/>
    <w:uiPriority w:val="22"/>
    <w:rPr>
      <w:b/>
    </w:rPr>
  </w:style>
  <w:style w:type="character" w:styleId="27">
    <w:name w:val="page number"/>
    <w:basedOn w:val="25"/>
    <w:semiHidden/>
    <w:qFormat/>
    <w:uiPriority w:val="0"/>
  </w:style>
  <w:style w:type="character" w:styleId="28">
    <w:name w:val="Hyperlink"/>
    <w:unhideWhenUsed/>
    <w:qFormat/>
    <w:uiPriority w:val="99"/>
    <w:rPr>
      <w:color w:val="0000FF"/>
      <w:u w:val="single"/>
    </w:rPr>
  </w:style>
  <w:style w:type="character" w:styleId="29">
    <w:name w:val="annotation reference"/>
    <w:semiHidden/>
    <w:unhideWhenUsed/>
    <w:qFormat/>
    <w:uiPriority w:val="99"/>
    <w:rPr>
      <w:sz w:val="21"/>
      <w:szCs w:val="21"/>
    </w:rPr>
  </w:style>
  <w:style w:type="character" w:styleId="30">
    <w:name w:val="footnote reference"/>
    <w:semiHidden/>
    <w:qFormat/>
    <w:uiPriority w:val="0"/>
    <w:rPr>
      <w:vertAlign w:val="superscript"/>
    </w:rPr>
  </w:style>
  <w:style w:type="character" w:customStyle="1" w:styleId="31">
    <w:name w:val="标题 1 字符"/>
    <w:link w:val="2"/>
    <w:qFormat/>
    <w:uiPriority w:val="0"/>
    <w:rPr>
      <w:rFonts w:ascii="Times New Roman" w:hAnsi="Times New Roman" w:eastAsia="黑体"/>
      <w:spacing w:val="6"/>
      <w:kern w:val="44"/>
      <w:sz w:val="48"/>
      <w:lang w:val="zh-CN" w:eastAsia="zh-CN"/>
    </w:rPr>
  </w:style>
  <w:style w:type="character" w:customStyle="1" w:styleId="32">
    <w:name w:val="标题 2 字符"/>
    <w:link w:val="3"/>
    <w:qFormat/>
    <w:uiPriority w:val="0"/>
    <w:rPr>
      <w:rFonts w:ascii="Times New Roman" w:hAnsi="Times New Roman" w:eastAsia="楷体_GB2312" w:cs="Times New Roman"/>
      <w:spacing w:val="6"/>
      <w:kern w:val="20"/>
      <w:sz w:val="28"/>
      <w:szCs w:val="20"/>
    </w:rPr>
  </w:style>
  <w:style w:type="character" w:customStyle="1" w:styleId="33">
    <w:name w:val="标题 3 字符"/>
    <w:link w:val="5"/>
    <w:qFormat/>
    <w:uiPriority w:val="0"/>
    <w:rPr>
      <w:rFonts w:ascii="Times New Roman" w:hAnsi="Times New Roman" w:eastAsia="黑体" w:cs="Times New Roman"/>
      <w:bCs/>
      <w:spacing w:val="6"/>
      <w:kern w:val="20"/>
      <w:sz w:val="24"/>
      <w:szCs w:val="20"/>
    </w:rPr>
  </w:style>
  <w:style w:type="character" w:customStyle="1" w:styleId="34">
    <w:name w:val="标题 4 字符"/>
    <w:link w:val="6"/>
    <w:qFormat/>
    <w:uiPriority w:val="0"/>
    <w:rPr>
      <w:rFonts w:ascii="Times New Roman" w:hAnsi="Times New Roman" w:eastAsia="黑体" w:cs="Times New Roman"/>
      <w:spacing w:val="6"/>
      <w:kern w:val="20"/>
      <w:sz w:val="20"/>
      <w:szCs w:val="20"/>
    </w:rPr>
  </w:style>
  <w:style w:type="character" w:customStyle="1" w:styleId="35">
    <w:name w:val="标题 5 字符"/>
    <w:link w:val="7"/>
    <w:qFormat/>
    <w:uiPriority w:val="0"/>
    <w:rPr>
      <w:rFonts w:ascii="Times New Roman" w:hAnsi="Times New Roman" w:eastAsia="黑体" w:cs="Times New Roman"/>
      <w:spacing w:val="6"/>
      <w:kern w:val="20"/>
      <w:sz w:val="20"/>
      <w:szCs w:val="20"/>
    </w:rPr>
  </w:style>
  <w:style w:type="character" w:customStyle="1" w:styleId="36">
    <w:name w:val="标题 6 字符"/>
    <w:link w:val="8"/>
    <w:qFormat/>
    <w:uiPriority w:val="0"/>
    <w:rPr>
      <w:rFonts w:ascii="Arial" w:hAnsi="Arial" w:eastAsia="黑体" w:cs="Times New Roman"/>
      <w:b/>
      <w:spacing w:val="6"/>
      <w:kern w:val="20"/>
      <w:sz w:val="24"/>
      <w:szCs w:val="20"/>
    </w:rPr>
  </w:style>
  <w:style w:type="character" w:customStyle="1" w:styleId="37">
    <w:name w:val="标题 7 字符"/>
    <w:link w:val="9"/>
    <w:qFormat/>
    <w:uiPriority w:val="0"/>
    <w:rPr>
      <w:rFonts w:ascii="Times New Roman" w:hAnsi="Times New Roman" w:eastAsia="宋体" w:cs="Times New Roman"/>
      <w:b/>
      <w:spacing w:val="6"/>
      <w:kern w:val="20"/>
      <w:sz w:val="24"/>
      <w:szCs w:val="20"/>
    </w:rPr>
  </w:style>
  <w:style w:type="character" w:customStyle="1" w:styleId="38">
    <w:name w:val="标题 8 字符"/>
    <w:link w:val="10"/>
    <w:qFormat/>
    <w:uiPriority w:val="0"/>
    <w:rPr>
      <w:rFonts w:ascii="Arial" w:hAnsi="Arial" w:eastAsia="黑体" w:cs="Times New Roman"/>
      <w:spacing w:val="6"/>
      <w:kern w:val="20"/>
      <w:sz w:val="24"/>
      <w:szCs w:val="20"/>
    </w:rPr>
  </w:style>
  <w:style w:type="character" w:customStyle="1" w:styleId="39">
    <w:name w:val="标题 9 字符"/>
    <w:link w:val="11"/>
    <w:qFormat/>
    <w:uiPriority w:val="0"/>
    <w:rPr>
      <w:rFonts w:ascii="Arial" w:hAnsi="Arial" w:eastAsia="黑体" w:cs="Times New Roman"/>
      <w:spacing w:val="6"/>
      <w:kern w:val="20"/>
      <w:sz w:val="20"/>
      <w:szCs w:val="20"/>
    </w:rPr>
  </w:style>
  <w:style w:type="character" w:customStyle="1" w:styleId="40">
    <w:name w:val="页眉 字符"/>
    <w:link w:val="19"/>
    <w:semiHidden/>
    <w:qFormat/>
    <w:uiPriority w:val="0"/>
    <w:rPr>
      <w:rFonts w:ascii="Times New Roman" w:hAnsi="Times New Roman" w:eastAsia="宋体" w:cs="Times New Roman"/>
      <w:spacing w:val="6"/>
      <w:kern w:val="20"/>
      <w:sz w:val="18"/>
      <w:szCs w:val="18"/>
    </w:rPr>
  </w:style>
  <w:style w:type="character" w:customStyle="1" w:styleId="41">
    <w:name w:val="页脚 字符"/>
    <w:link w:val="18"/>
    <w:semiHidden/>
    <w:qFormat/>
    <w:uiPriority w:val="0"/>
    <w:rPr>
      <w:rFonts w:ascii="Times New Roman" w:hAnsi="Times New Roman" w:eastAsia="宋体" w:cs="Times New Roman"/>
      <w:spacing w:val="6"/>
      <w:kern w:val="20"/>
      <w:sz w:val="18"/>
      <w:szCs w:val="18"/>
    </w:rPr>
  </w:style>
  <w:style w:type="character" w:customStyle="1" w:styleId="42">
    <w:name w:val="正文文本缩进 字符"/>
    <w:link w:val="15"/>
    <w:semiHidden/>
    <w:qFormat/>
    <w:uiPriority w:val="0"/>
    <w:rPr>
      <w:rFonts w:ascii="Times New Roman" w:hAnsi="Times New Roman" w:eastAsia="宋体" w:cs="Times New Roman"/>
      <w:spacing w:val="6"/>
      <w:kern w:val="20"/>
      <w:sz w:val="24"/>
      <w:szCs w:val="20"/>
    </w:rPr>
  </w:style>
  <w:style w:type="character" w:customStyle="1" w:styleId="43">
    <w:name w:val="正文文本缩进 2 字符"/>
    <w:link w:val="16"/>
    <w:semiHidden/>
    <w:qFormat/>
    <w:uiPriority w:val="0"/>
    <w:rPr>
      <w:rFonts w:ascii="Times New Roman" w:hAnsi="Times New Roman" w:eastAsia="宋体" w:cs="Times New Roman"/>
      <w:color w:val="000000"/>
      <w:spacing w:val="6"/>
      <w:kern w:val="20"/>
      <w:sz w:val="20"/>
      <w:szCs w:val="24"/>
    </w:rPr>
  </w:style>
  <w:style w:type="character" w:customStyle="1" w:styleId="44">
    <w:name w:val="正文文本缩进 3 字符"/>
    <w:link w:val="20"/>
    <w:semiHidden/>
    <w:qFormat/>
    <w:uiPriority w:val="0"/>
    <w:rPr>
      <w:rFonts w:ascii="Times New Roman" w:hAnsi="Times New Roman" w:eastAsia="宋体" w:cs="Times New Roman"/>
      <w:color w:val="000000"/>
      <w:spacing w:val="6"/>
      <w:kern w:val="20"/>
      <w:sz w:val="20"/>
      <w:szCs w:val="24"/>
    </w:rPr>
  </w:style>
  <w:style w:type="character" w:customStyle="1" w:styleId="45">
    <w:name w:val="正文文本 字符"/>
    <w:link w:val="14"/>
    <w:semiHidden/>
    <w:qFormat/>
    <w:uiPriority w:val="0"/>
    <w:rPr>
      <w:rFonts w:ascii="Times New Roman" w:hAnsi="Times New Roman" w:eastAsia="宋体" w:cs="Times New Roman"/>
      <w:spacing w:val="6"/>
      <w:kern w:val="0"/>
      <w:sz w:val="17"/>
      <w:szCs w:val="20"/>
    </w:rPr>
  </w:style>
  <w:style w:type="character" w:customStyle="1" w:styleId="46">
    <w:name w:val="正文文本 2 字符"/>
    <w:link w:val="21"/>
    <w:semiHidden/>
    <w:qFormat/>
    <w:uiPriority w:val="0"/>
    <w:rPr>
      <w:rFonts w:ascii="Times New Roman" w:hAnsi="Times New Roman" w:eastAsia="宋体" w:cs="Times New Roman"/>
      <w:spacing w:val="6"/>
      <w:kern w:val="20"/>
      <w:sz w:val="20"/>
      <w:szCs w:val="20"/>
    </w:rPr>
  </w:style>
  <w:style w:type="character" w:customStyle="1" w:styleId="47">
    <w:name w:val="批注框文本 字符"/>
    <w:link w:val="17"/>
    <w:semiHidden/>
    <w:qFormat/>
    <w:uiPriority w:val="0"/>
    <w:rPr>
      <w:rFonts w:ascii="Times New Roman" w:hAnsi="Times New Roman" w:eastAsia="宋体" w:cs="Times New Roman"/>
      <w:spacing w:val="6"/>
      <w:kern w:val="0"/>
      <w:sz w:val="18"/>
      <w:szCs w:val="20"/>
    </w:rPr>
  </w:style>
  <w:style w:type="character" w:customStyle="1" w:styleId="48">
    <w:name w:val="正文文本 3 字符"/>
    <w:link w:val="13"/>
    <w:semiHidden/>
    <w:qFormat/>
    <w:uiPriority w:val="0"/>
    <w:rPr>
      <w:rFonts w:ascii="Times New Roman" w:hAnsi="Times New Roman" w:eastAsia="宋体" w:cs="Times New Roman"/>
      <w:b/>
      <w:caps/>
      <w:color w:val="000000"/>
      <w:spacing w:val="6"/>
      <w:kern w:val="20"/>
      <w:sz w:val="20"/>
      <w:szCs w:val="24"/>
    </w:rPr>
  </w:style>
  <w:style w:type="paragraph" w:customStyle="1" w:styleId="49">
    <w:name w:val="表头"/>
    <w:basedOn w:val="1"/>
    <w:qFormat/>
    <w:uiPriority w:val="0"/>
    <w:pPr>
      <w:jc w:val="center"/>
    </w:pPr>
    <w:rPr>
      <w:rFonts w:eastAsia="黑体"/>
      <w:sz w:val="18"/>
    </w:rPr>
  </w:style>
  <w:style w:type="paragraph" w:customStyle="1" w:styleId="50">
    <w:name w:val="图名"/>
    <w:basedOn w:val="1"/>
    <w:link w:val="64"/>
    <w:qFormat/>
    <w:uiPriority w:val="0"/>
    <w:pPr>
      <w:jc w:val="center"/>
    </w:pPr>
    <w:rPr>
      <w:sz w:val="18"/>
      <w:lang w:val="zh-CN" w:eastAsia="zh-CN"/>
    </w:rPr>
  </w:style>
  <w:style w:type="paragraph" w:customStyle="1" w:styleId="51">
    <w:name w:val="标题5"/>
    <w:basedOn w:val="1"/>
    <w:qFormat/>
    <w:uiPriority w:val="0"/>
    <w:pPr>
      <w:snapToGrid w:val="0"/>
      <w:spacing w:before="50" w:after="50" w:line="245" w:lineRule="auto"/>
      <w:jc w:val="left"/>
      <w:outlineLvl w:val="4"/>
    </w:pPr>
    <w:rPr>
      <w:rFonts w:eastAsia="方正小标宋简体"/>
      <w:spacing w:val="4"/>
      <w:kern w:val="2"/>
      <w:szCs w:val="20"/>
    </w:rPr>
  </w:style>
  <w:style w:type="paragraph" w:customStyle="1" w:styleId="52">
    <w:name w:val="references"/>
    <w:qFormat/>
    <w:uiPriority w:val="0"/>
    <w:pPr>
      <w:numPr>
        <w:ilvl w:val="0"/>
        <w:numId w:val="2"/>
      </w:numPr>
      <w:spacing w:after="50" w:line="180" w:lineRule="exact"/>
      <w:jc w:val="both"/>
    </w:pPr>
    <w:rPr>
      <w:rFonts w:ascii="Times New Roman" w:hAnsi="Times New Roman" w:eastAsia="MS Mincho" w:cs="Times New Roman"/>
      <w:sz w:val="16"/>
      <w:szCs w:val="16"/>
      <w:lang w:val="en-US" w:eastAsia="en-US" w:bidi="ar-SA"/>
    </w:rPr>
  </w:style>
  <w:style w:type="paragraph" w:customStyle="1" w:styleId="53">
    <w:name w:val="表字"/>
    <w:basedOn w:val="51"/>
    <w:qFormat/>
    <w:uiPriority w:val="0"/>
    <w:pPr>
      <w:snapToGrid/>
      <w:spacing w:before="0" w:after="0" w:line="240" w:lineRule="auto"/>
      <w:jc w:val="center"/>
      <w:outlineLvl w:val="9"/>
    </w:pPr>
    <w:rPr>
      <w:rFonts w:eastAsia="宋体"/>
      <w:spacing w:val="6"/>
      <w:sz w:val="15"/>
      <w:szCs w:val="15"/>
    </w:rPr>
  </w:style>
  <w:style w:type="paragraph" w:customStyle="1" w:styleId="54">
    <w:name w:val="bullet list"/>
    <w:basedOn w:val="14"/>
    <w:qFormat/>
    <w:uiPriority w:val="0"/>
    <w:pPr>
      <w:widowControl/>
      <w:numPr>
        <w:ilvl w:val="0"/>
        <w:numId w:val="3"/>
      </w:numPr>
      <w:adjustRightInd/>
      <w:snapToGrid/>
      <w:spacing w:line="228" w:lineRule="auto"/>
      <w:jc w:val="both"/>
      <w:textAlignment w:val="auto"/>
    </w:pPr>
    <w:rPr>
      <w:spacing w:val="-1"/>
      <w:sz w:val="20"/>
      <w:lang w:eastAsia="en-US"/>
    </w:rPr>
  </w:style>
  <w:style w:type="paragraph" w:customStyle="1" w:styleId="55">
    <w:name w:val="样式 标题 3 + 左侧:  0 厘米 悬挂缩进: 1.5 字符"/>
    <w:basedOn w:val="5"/>
    <w:qFormat/>
    <w:uiPriority w:val="0"/>
    <w:pPr>
      <w:ind w:left="379" w:hanging="379"/>
    </w:pPr>
    <w:rPr>
      <w:rFonts w:cs="宋体"/>
      <w:bCs w:val="0"/>
    </w:rPr>
  </w:style>
  <w:style w:type="paragraph" w:customStyle="1" w:styleId="56">
    <w:name w:val="样式 正文 + 五号 居中"/>
    <w:basedOn w:val="1"/>
    <w:qFormat/>
    <w:uiPriority w:val="0"/>
    <w:pPr>
      <w:spacing w:line="400" w:lineRule="atLeast"/>
      <w:ind w:firstLine="420"/>
      <w:jc w:val="center"/>
      <w:outlineLvl w:val="4"/>
    </w:pPr>
    <w:rPr>
      <w:spacing w:val="0"/>
      <w:kern w:val="2"/>
      <w:sz w:val="21"/>
      <w:szCs w:val="20"/>
    </w:rPr>
  </w:style>
  <w:style w:type="paragraph" w:customStyle="1" w:styleId="57">
    <w:name w:val="Text"/>
    <w:basedOn w:val="1"/>
    <w:qFormat/>
    <w:uiPriority w:val="0"/>
    <w:pPr>
      <w:spacing w:line="252" w:lineRule="auto"/>
      <w:ind w:firstLine="240"/>
    </w:pPr>
    <w:rPr>
      <w:rFonts w:eastAsia="MS Mincho"/>
      <w:spacing w:val="0"/>
      <w:kern w:val="0"/>
      <w:szCs w:val="20"/>
      <w:lang w:eastAsia="en-US"/>
    </w:rPr>
  </w:style>
  <w:style w:type="paragraph" w:customStyle="1" w:styleId="58">
    <w:name w:val="Table Title"/>
    <w:basedOn w:val="1"/>
    <w:qFormat/>
    <w:uiPriority w:val="0"/>
    <w:pPr>
      <w:widowControl/>
      <w:jc w:val="center"/>
    </w:pPr>
    <w:rPr>
      <w:rFonts w:eastAsia="MS Mincho"/>
      <w:smallCaps/>
      <w:spacing w:val="0"/>
      <w:kern w:val="0"/>
      <w:sz w:val="16"/>
      <w:szCs w:val="20"/>
      <w:lang w:eastAsia="en-US"/>
    </w:rPr>
  </w:style>
  <w:style w:type="paragraph" w:styleId="59">
    <w:name w:val="No Spacing"/>
    <w:qFormat/>
    <w:uiPriority w:val="1"/>
    <w:pPr>
      <w:widowControl w:val="0"/>
      <w:jc w:val="both"/>
    </w:pPr>
    <w:rPr>
      <w:rFonts w:ascii="Times New Roman" w:hAnsi="Times New Roman" w:eastAsia="宋体" w:cs="Times New Roman"/>
      <w:spacing w:val="6"/>
      <w:kern w:val="20"/>
      <w:szCs w:val="24"/>
      <w:lang w:val="en-US" w:eastAsia="zh-CN" w:bidi="ar-SA"/>
    </w:rPr>
  </w:style>
  <w:style w:type="paragraph" w:customStyle="1" w:styleId="60">
    <w:name w:val="EndNote Bibliography Title"/>
    <w:basedOn w:val="1"/>
    <w:link w:val="61"/>
    <w:qFormat/>
    <w:uiPriority w:val="0"/>
    <w:pPr>
      <w:jc w:val="center"/>
    </w:pPr>
    <w:rPr>
      <w:lang w:val="zh-CN" w:eastAsia="zh-CN"/>
    </w:rPr>
  </w:style>
  <w:style w:type="character" w:customStyle="1" w:styleId="61">
    <w:name w:val="EndNote Bibliography Title 字符"/>
    <w:link w:val="60"/>
    <w:qFormat/>
    <w:uiPriority w:val="0"/>
    <w:rPr>
      <w:rFonts w:ascii="Times New Roman" w:hAnsi="Times New Roman" w:eastAsia="宋体" w:cs="Times New Roman"/>
      <w:spacing w:val="6"/>
      <w:kern w:val="20"/>
      <w:sz w:val="20"/>
      <w:szCs w:val="24"/>
    </w:rPr>
  </w:style>
  <w:style w:type="paragraph" w:customStyle="1" w:styleId="62">
    <w:name w:val="EndNote Bibliography"/>
    <w:basedOn w:val="1"/>
    <w:link w:val="63"/>
    <w:qFormat/>
    <w:uiPriority w:val="0"/>
    <w:rPr>
      <w:lang w:val="zh-CN" w:eastAsia="zh-CN"/>
    </w:rPr>
  </w:style>
  <w:style w:type="character" w:customStyle="1" w:styleId="63">
    <w:name w:val="EndNote Bibliography 字符"/>
    <w:link w:val="62"/>
    <w:qFormat/>
    <w:uiPriority w:val="0"/>
    <w:rPr>
      <w:rFonts w:ascii="Times New Roman" w:hAnsi="Times New Roman" w:eastAsia="宋体" w:cs="Times New Roman"/>
      <w:spacing w:val="6"/>
      <w:kern w:val="20"/>
      <w:sz w:val="20"/>
      <w:szCs w:val="24"/>
    </w:rPr>
  </w:style>
  <w:style w:type="character" w:customStyle="1" w:styleId="64">
    <w:name w:val="图名 字符"/>
    <w:link w:val="50"/>
    <w:qFormat/>
    <w:uiPriority w:val="0"/>
    <w:rPr>
      <w:rFonts w:ascii="Times New Roman" w:hAnsi="Times New Roman" w:eastAsia="宋体" w:cs="Times New Roman"/>
      <w:spacing w:val="6"/>
      <w:kern w:val="20"/>
      <w:sz w:val="18"/>
      <w:szCs w:val="24"/>
    </w:rPr>
  </w:style>
  <w:style w:type="paragraph" w:customStyle="1" w:styleId="65">
    <w:name w:val="电工"/>
    <w:basedOn w:val="50"/>
    <w:link w:val="66"/>
    <w:qFormat/>
    <w:uiPriority w:val="0"/>
    <w:pPr>
      <w:ind w:firstLine="412"/>
      <w:jc w:val="both"/>
    </w:pPr>
    <w:rPr>
      <w:sz w:val="20"/>
      <w:szCs w:val="20"/>
      <w:shd w:val="clear" w:color="auto" w:fill="FFFFFF"/>
    </w:rPr>
  </w:style>
  <w:style w:type="character" w:customStyle="1" w:styleId="66">
    <w:name w:val="电工 字符"/>
    <w:link w:val="65"/>
    <w:qFormat/>
    <w:uiPriority w:val="0"/>
    <w:rPr>
      <w:rFonts w:ascii="Times New Roman" w:hAnsi="Times New Roman" w:eastAsia="宋体" w:cs="Times New Roman"/>
      <w:spacing w:val="6"/>
      <w:kern w:val="20"/>
      <w:sz w:val="20"/>
      <w:szCs w:val="20"/>
    </w:rPr>
  </w:style>
  <w:style w:type="character" w:customStyle="1" w:styleId="67">
    <w:name w:val="fontstyle01"/>
    <w:qFormat/>
    <w:uiPriority w:val="0"/>
    <w:rPr>
      <w:rFonts w:hint="default" w:ascii="TimesNewRomanPS-BoldMT" w:hAnsi="TimesNewRomanPS-BoldMT"/>
      <w:b/>
      <w:bCs/>
      <w:color w:val="000000"/>
      <w:sz w:val="18"/>
      <w:szCs w:val="18"/>
    </w:rPr>
  </w:style>
  <w:style w:type="character" w:customStyle="1" w:styleId="68">
    <w:name w:val="正文缩进 字符"/>
    <w:link w:val="4"/>
    <w:semiHidden/>
    <w:qFormat/>
    <w:uiPriority w:val="0"/>
    <w:rPr>
      <w:rFonts w:ascii="Times New Roman" w:hAnsi="Times New Roman" w:eastAsia="宋体" w:cs="Times New Roman"/>
      <w:spacing w:val="6"/>
      <w:kern w:val="20"/>
      <w:sz w:val="24"/>
      <w:szCs w:val="20"/>
    </w:rPr>
  </w:style>
  <w:style w:type="character" w:customStyle="1" w:styleId="69">
    <w:name w:val="批注文字 字符"/>
    <w:link w:val="12"/>
    <w:semiHidden/>
    <w:qFormat/>
    <w:uiPriority w:val="99"/>
    <w:rPr>
      <w:rFonts w:ascii="Times New Roman" w:hAnsi="Times New Roman" w:eastAsia="宋体" w:cs="Times New Roman"/>
      <w:spacing w:val="6"/>
      <w:kern w:val="20"/>
      <w:sz w:val="20"/>
      <w:szCs w:val="24"/>
    </w:rPr>
  </w:style>
  <w:style w:type="paragraph" w:customStyle="1" w:styleId="70">
    <w:name w:val="11111"/>
    <w:basedOn w:val="4"/>
    <w:link w:val="71"/>
    <w:qFormat/>
    <w:uiPriority w:val="0"/>
    <w:pPr>
      <w:snapToGrid w:val="0"/>
      <w:ind w:firstLine="412"/>
    </w:pPr>
    <w:rPr>
      <w:sz w:val="20"/>
    </w:rPr>
  </w:style>
  <w:style w:type="character" w:customStyle="1" w:styleId="71">
    <w:name w:val="11111 字符"/>
    <w:link w:val="70"/>
    <w:qFormat/>
    <w:uiPriority w:val="0"/>
    <w:rPr>
      <w:rFonts w:ascii="Times New Roman" w:hAnsi="Times New Roman" w:eastAsia="宋体" w:cs="Times New Roman"/>
      <w:spacing w:val="6"/>
      <w:kern w:val="20"/>
      <w:sz w:val="20"/>
      <w:szCs w:val="20"/>
    </w:rPr>
  </w:style>
  <w:style w:type="paragraph" w:customStyle="1" w:styleId="72">
    <w:name w:val="Revision"/>
    <w:hidden/>
    <w:semiHidden/>
    <w:qFormat/>
    <w:uiPriority w:val="99"/>
    <w:rPr>
      <w:rFonts w:ascii="Times New Roman" w:hAnsi="Times New Roman" w:eastAsia="宋体" w:cs="Times New Roman"/>
      <w:spacing w:val="6"/>
      <w:kern w:val="20"/>
      <w:szCs w:val="24"/>
      <w:lang w:val="en-US" w:eastAsia="zh-CN" w:bidi="ar-SA"/>
    </w:rPr>
  </w:style>
  <w:style w:type="character" w:customStyle="1" w:styleId="73">
    <w:name w:val="批注主题 字符"/>
    <w:link w:val="23"/>
    <w:semiHidden/>
    <w:qFormat/>
    <w:uiPriority w:val="99"/>
    <w:rPr>
      <w:rFonts w:ascii="Times New Roman" w:hAnsi="Times New Roman" w:eastAsia="宋体" w:cs="Times New Roman"/>
      <w:b/>
      <w:bCs/>
      <w:spacing w:val="6"/>
      <w:kern w:val="20"/>
      <w:sz w:val="20"/>
      <w:szCs w:val="24"/>
    </w:rPr>
  </w:style>
  <w:style w:type="character" w:customStyle="1" w:styleId="74">
    <w:name w:val="fontstyle11"/>
    <w:qFormat/>
    <w:uiPriority w:val="0"/>
    <w:rPr>
      <w:rFonts w:hint="default" w:ascii="TimesNewRoman" w:hAnsi="TimesNewRoman"/>
      <w:color w:val="000000"/>
      <w:sz w:val="20"/>
      <w:szCs w:val="20"/>
    </w:rPr>
  </w:style>
  <w:style w:type="character" w:customStyle="1" w:styleId="75">
    <w:name w:val="fontstyle21"/>
    <w:qFormat/>
    <w:uiPriority w:val="0"/>
    <w:rPr>
      <w:rFonts w:hint="eastAsia" w:ascii="宋体" w:hAnsi="宋体" w:eastAsia="宋体"/>
      <w:color w:val="000000"/>
      <w:sz w:val="18"/>
      <w:szCs w:val="18"/>
    </w:rPr>
  </w:style>
  <w:style w:type="paragraph" w:customStyle="1" w:styleId="76">
    <w:name w:val="公式"/>
    <w:basedOn w:val="1"/>
    <w:qFormat/>
    <w:uiPriority w:val="0"/>
    <w:pPr>
      <w:tabs>
        <w:tab w:val="center" w:pos="2332"/>
        <w:tab w:val="right" w:pos="4770"/>
      </w:tabs>
      <w:ind w:firstLine="0"/>
      <w:jc w:val="center"/>
      <w:textAlignment w:val="center"/>
    </w:pPr>
  </w:style>
  <w:style w:type="paragraph" w:customStyle="1" w:styleId="77">
    <w:name w:val="表文"/>
    <w:basedOn w:val="1"/>
    <w:qFormat/>
    <w:uiPriority w:val="0"/>
    <w:pPr>
      <w:ind w:firstLine="0"/>
      <w:jc w:val="center"/>
    </w:pPr>
    <w:rPr>
      <w:sz w:val="15"/>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3" Type="http://schemas.openxmlformats.org/officeDocument/2006/relationships/fontTable" Target="fontTable.xml"/><Relationship Id="rId72" Type="http://schemas.openxmlformats.org/officeDocument/2006/relationships/customXml" Target="../customXml/item1.xml"/><Relationship Id="rId71" Type="http://schemas.openxmlformats.org/officeDocument/2006/relationships/numbering" Target="numbering.xml"/><Relationship Id="rId70" Type="http://schemas.openxmlformats.org/officeDocument/2006/relationships/image" Target="media/image28.emf"/><Relationship Id="rId7" Type="http://schemas.openxmlformats.org/officeDocument/2006/relationships/header" Target="header3.xml"/><Relationship Id="rId69" Type="http://schemas.openxmlformats.org/officeDocument/2006/relationships/oleObject" Target="embeddings/oleObject28.bin"/><Relationship Id="rId68" Type="http://schemas.openxmlformats.org/officeDocument/2006/relationships/image" Target="media/image27.emf"/><Relationship Id="rId67" Type="http://schemas.openxmlformats.org/officeDocument/2006/relationships/oleObject" Target="embeddings/oleObject27.bin"/><Relationship Id="rId66" Type="http://schemas.openxmlformats.org/officeDocument/2006/relationships/image" Target="media/image26.emf"/><Relationship Id="rId65" Type="http://schemas.openxmlformats.org/officeDocument/2006/relationships/oleObject" Target="embeddings/oleObject26.bin"/><Relationship Id="rId64" Type="http://schemas.openxmlformats.org/officeDocument/2006/relationships/image" Target="media/image25.emf"/><Relationship Id="rId63" Type="http://schemas.openxmlformats.org/officeDocument/2006/relationships/oleObject" Target="embeddings/oleObject25.bin"/><Relationship Id="rId62" Type="http://schemas.openxmlformats.org/officeDocument/2006/relationships/image" Target="media/image24.emf"/><Relationship Id="rId61" Type="http://schemas.openxmlformats.org/officeDocument/2006/relationships/oleObject" Target="embeddings/oleObject24.bin"/><Relationship Id="rId60" Type="http://schemas.openxmlformats.org/officeDocument/2006/relationships/image" Target="media/image23.emf"/><Relationship Id="rId6" Type="http://schemas.openxmlformats.org/officeDocument/2006/relationships/header" Target="header2.xml"/><Relationship Id="rId59" Type="http://schemas.openxmlformats.org/officeDocument/2006/relationships/oleObject" Target="embeddings/oleObject23.bin"/><Relationship Id="rId58" Type="http://schemas.openxmlformats.org/officeDocument/2006/relationships/image" Target="media/image22.emf"/><Relationship Id="rId57" Type="http://schemas.openxmlformats.org/officeDocument/2006/relationships/oleObject" Target="embeddings/oleObject22.bin"/><Relationship Id="rId56" Type="http://schemas.openxmlformats.org/officeDocument/2006/relationships/image" Target="media/image21.emf"/><Relationship Id="rId55" Type="http://schemas.openxmlformats.org/officeDocument/2006/relationships/oleObject" Target="embeddings/oleObject21.bin"/><Relationship Id="rId54" Type="http://schemas.openxmlformats.org/officeDocument/2006/relationships/image" Target="media/image20.emf"/><Relationship Id="rId53" Type="http://schemas.openxmlformats.org/officeDocument/2006/relationships/oleObject" Target="embeddings/oleObject20.bin"/><Relationship Id="rId52" Type="http://schemas.openxmlformats.org/officeDocument/2006/relationships/image" Target="media/image19.emf"/><Relationship Id="rId51" Type="http://schemas.openxmlformats.org/officeDocument/2006/relationships/oleObject" Target="embeddings/oleObject19.bin"/><Relationship Id="rId50" Type="http://schemas.openxmlformats.org/officeDocument/2006/relationships/image" Target="media/image18.emf"/><Relationship Id="rId5" Type="http://schemas.openxmlformats.org/officeDocument/2006/relationships/header" Target="header1.xml"/><Relationship Id="rId49" Type="http://schemas.openxmlformats.org/officeDocument/2006/relationships/oleObject" Target="embeddings/oleObject18.bin"/><Relationship Id="rId48" Type="http://schemas.openxmlformats.org/officeDocument/2006/relationships/image" Target="media/image17.wmf"/><Relationship Id="rId47" Type="http://schemas.openxmlformats.org/officeDocument/2006/relationships/oleObject" Target="embeddings/oleObject17.bin"/><Relationship Id="rId46" Type="http://schemas.openxmlformats.org/officeDocument/2006/relationships/image" Target="media/image16.wmf"/><Relationship Id="rId45" Type="http://schemas.openxmlformats.org/officeDocument/2006/relationships/oleObject" Target="embeddings/oleObject16.bin"/><Relationship Id="rId44" Type="http://schemas.openxmlformats.org/officeDocument/2006/relationships/image" Target="media/image15.wmf"/><Relationship Id="rId43" Type="http://schemas.openxmlformats.org/officeDocument/2006/relationships/oleObject" Target="embeddings/oleObject15.bin"/><Relationship Id="rId42" Type="http://schemas.openxmlformats.org/officeDocument/2006/relationships/image" Target="media/image14.wmf"/><Relationship Id="rId41" Type="http://schemas.openxmlformats.org/officeDocument/2006/relationships/oleObject" Target="embeddings/oleObject14.bin"/><Relationship Id="rId40" Type="http://schemas.openxmlformats.org/officeDocument/2006/relationships/image" Target="media/image13.wmf"/><Relationship Id="rId4" Type="http://schemas.openxmlformats.org/officeDocument/2006/relationships/endnotes" Target="endnotes.xml"/><Relationship Id="rId39" Type="http://schemas.openxmlformats.org/officeDocument/2006/relationships/oleObject" Target="embeddings/oleObject13.bin"/><Relationship Id="rId38" Type="http://schemas.openxmlformats.org/officeDocument/2006/relationships/image" Target="media/image12.wmf"/><Relationship Id="rId37" Type="http://schemas.openxmlformats.org/officeDocument/2006/relationships/oleObject" Target="embeddings/oleObject12.bin"/><Relationship Id="rId36" Type="http://schemas.openxmlformats.org/officeDocument/2006/relationships/image" Target="media/image11.wmf"/><Relationship Id="rId35" Type="http://schemas.openxmlformats.org/officeDocument/2006/relationships/oleObject" Target="embeddings/oleObject11.bin"/><Relationship Id="rId34" Type="http://schemas.openxmlformats.org/officeDocument/2006/relationships/image" Target="media/image10.wmf"/><Relationship Id="rId33" Type="http://schemas.openxmlformats.org/officeDocument/2006/relationships/oleObject" Target="embeddings/oleObject10.bin"/><Relationship Id="rId32" Type="http://schemas.openxmlformats.org/officeDocument/2006/relationships/image" Target="media/image9.wmf"/><Relationship Id="rId31" Type="http://schemas.openxmlformats.org/officeDocument/2006/relationships/oleObject" Target="embeddings/oleObject9.bin"/><Relationship Id="rId30" Type="http://schemas.openxmlformats.org/officeDocument/2006/relationships/image" Target="media/image8.w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7.wmf"/><Relationship Id="rId27" Type="http://schemas.openxmlformats.org/officeDocument/2006/relationships/oleObject" Target="embeddings/oleObject7.bin"/><Relationship Id="rId26" Type="http://schemas.openxmlformats.org/officeDocument/2006/relationships/image" Target="media/image6.wmf"/><Relationship Id="rId25" Type="http://schemas.openxmlformats.org/officeDocument/2006/relationships/oleObject" Target="embeddings/oleObject6.bin"/><Relationship Id="rId24" Type="http://schemas.openxmlformats.org/officeDocument/2006/relationships/image" Target="media/image5.wmf"/><Relationship Id="rId23" Type="http://schemas.openxmlformats.org/officeDocument/2006/relationships/oleObject" Target="embeddings/oleObject5.bin"/><Relationship Id="rId22" Type="http://schemas.openxmlformats.org/officeDocument/2006/relationships/image" Target="media/image4.wmf"/><Relationship Id="rId21" Type="http://schemas.openxmlformats.org/officeDocument/2006/relationships/oleObject" Target="embeddings/oleObject4.bin"/><Relationship Id="rId20" Type="http://schemas.openxmlformats.org/officeDocument/2006/relationships/image" Target="media/image3.e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2.emf"/><Relationship Id="rId17" Type="http://schemas.openxmlformats.org/officeDocument/2006/relationships/oleObject" Target="embeddings/oleObject2.bin"/><Relationship Id="rId16" Type="http://schemas.openxmlformats.org/officeDocument/2006/relationships/image" Target="media/image1.emf"/><Relationship Id="rId15" Type="http://schemas.openxmlformats.org/officeDocument/2006/relationships/oleObject" Target="embeddings/oleObject1.bin"/><Relationship Id="rId14" Type="http://schemas.openxmlformats.org/officeDocument/2006/relationships/theme" Target="theme/theme1.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D1D4B4-AEE7-464A-A44A-AC84D6A29F09}">
  <ds:schemaRefs/>
</ds:datastoreItem>
</file>

<file path=docProps/app.xml><?xml version="1.0" encoding="utf-8"?>
<Properties xmlns="http://schemas.openxmlformats.org/officeDocument/2006/extended-properties" xmlns:vt="http://schemas.openxmlformats.org/officeDocument/2006/docPropsVTypes">
  <Template>Normal.dotm</Template>
  <Pages>10</Pages>
  <Words>5146</Words>
  <Characters>30386</Characters>
  <Lines>310</Lines>
  <Paragraphs>87</Paragraphs>
  <TotalTime>17</TotalTime>
  <ScaleCrop>false</ScaleCrop>
  <LinksUpToDate>false</LinksUpToDate>
  <CharactersWithSpaces>35346</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2022-03-16T09:46:00Z</dcterms:created>
  <dc:creator>彭 维锋</dc:creator>
  <cp:lastModifiedBy>彭维锋</cp:lastModifiedBy>
  <cp:lastPrinted>2022-03-09T16:18:00Z</cp:lastPrinted>
  <dcterms:modified xsi:type="dcterms:W3CDTF">2024-10-12T09:54:57Z</dcterms:modified>
  <cp:revision>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5218BA8E8A294224947056D9FD964D8A_12</vt:lpwstr>
  </property>
</Properties>
</file>